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1E4E" w14:textId="29C2F11D" w:rsidR="000C31F2" w:rsidRPr="00CB24FA" w:rsidRDefault="000F63A2" w:rsidP="00CB24FA">
      <w:pPr>
        <w:pStyle w:val="Heading1"/>
        <w:spacing w:before="0"/>
        <w:jc w:val="center"/>
        <w:rPr>
          <w:rFonts w:ascii="Garamond" w:hAnsi="Garamond"/>
          <w:color w:val="auto"/>
          <w:sz w:val="24"/>
          <w:szCs w:val="24"/>
          <w:lang w:val="sq-AL"/>
        </w:rPr>
      </w:pPr>
      <w:r>
        <w:rPr>
          <w:rFonts w:ascii="Garamond" w:hAnsi="Garamond"/>
          <w:color w:val="auto"/>
          <w:sz w:val="24"/>
          <w:szCs w:val="24"/>
          <w:lang w:val="sq-AL"/>
        </w:rPr>
        <w:t xml:space="preserve">    </w:t>
      </w:r>
      <w:r w:rsidR="000C31F2" w:rsidRPr="00CB24FA">
        <w:rPr>
          <w:rFonts w:ascii="Garamond" w:hAnsi="Garamond"/>
          <w:color w:val="auto"/>
          <w:sz w:val="24"/>
          <w:szCs w:val="24"/>
          <w:lang w:val="sq-AL"/>
        </w:rPr>
        <w:t xml:space="preserve">GJYKATA </w:t>
      </w:r>
      <w:r w:rsidR="00FC26A2" w:rsidRPr="00CB24FA">
        <w:rPr>
          <w:rFonts w:ascii="Garamond" w:hAnsi="Garamond"/>
          <w:color w:val="auto"/>
          <w:sz w:val="24"/>
          <w:szCs w:val="24"/>
          <w:lang w:val="sq-AL"/>
        </w:rPr>
        <w:t>EVROPIANE</w:t>
      </w:r>
      <w:r w:rsidR="000C31F2" w:rsidRPr="00CB24FA">
        <w:rPr>
          <w:rFonts w:ascii="Garamond" w:hAnsi="Garamond"/>
          <w:color w:val="auto"/>
          <w:sz w:val="24"/>
          <w:szCs w:val="24"/>
          <w:lang w:val="sq-AL"/>
        </w:rPr>
        <w:t xml:space="preserve"> E TË DREJTAVE TË NJERIUT</w:t>
      </w:r>
    </w:p>
    <w:p w14:paraId="33786131" w14:textId="77777777" w:rsidR="000C31F2" w:rsidRPr="00FC26A2" w:rsidRDefault="000C31F2" w:rsidP="00900957">
      <w:pPr>
        <w:tabs>
          <w:tab w:val="left" w:pos="5529"/>
        </w:tabs>
        <w:spacing w:after="0" w:line="240" w:lineRule="auto"/>
        <w:ind w:firstLine="284"/>
        <w:jc w:val="center"/>
        <w:rPr>
          <w:rFonts w:ascii="Garamond" w:hAnsi="Garamond"/>
          <w:sz w:val="24"/>
          <w:szCs w:val="24"/>
          <w:lang w:val="sq-AL"/>
        </w:rPr>
      </w:pPr>
      <w:r w:rsidRPr="00FC26A2">
        <w:rPr>
          <w:rFonts w:ascii="Garamond" w:hAnsi="Garamond"/>
          <w:sz w:val="24"/>
          <w:szCs w:val="24"/>
          <w:lang w:val="sq-AL"/>
        </w:rPr>
        <w:t>SEKSIONI I TRETË</w:t>
      </w:r>
    </w:p>
    <w:p w14:paraId="4B8B57D7" w14:textId="77777777" w:rsidR="000C31F2" w:rsidRPr="00FC26A2" w:rsidRDefault="000C31F2" w:rsidP="00900957">
      <w:pPr>
        <w:spacing w:after="0" w:line="240" w:lineRule="auto"/>
        <w:ind w:firstLine="284"/>
        <w:jc w:val="center"/>
        <w:outlineLvl w:val="0"/>
        <w:rPr>
          <w:rFonts w:ascii="Garamond" w:hAnsi="Garamond"/>
          <w:b/>
          <w:bCs/>
          <w:sz w:val="24"/>
          <w:szCs w:val="24"/>
          <w:lang w:val="sq-AL"/>
        </w:rPr>
      </w:pPr>
    </w:p>
    <w:p w14:paraId="11EE9574" w14:textId="1225B487" w:rsidR="000C31F2" w:rsidRPr="00FC26A2" w:rsidRDefault="000C31F2" w:rsidP="00900957">
      <w:pPr>
        <w:spacing w:after="0" w:line="240" w:lineRule="auto"/>
        <w:ind w:firstLine="284"/>
        <w:jc w:val="center"/>
        <w:outlineLvl w:val="0"/>
        <w:rPr>
          <w:rFonts w:ascii="Garamond" w:hAnsi="Garamond"/>
          <w:b/>
          <w:bCs/>
          <w:sz w:val="24"/>
          <w:szCs w:val="24"/>
          <w:lang w:val="sq-AL"/>
        </w:rPr>
      </w:pPr>
      <w:r w:rsidRPr="00FC26A2">
        <w:rPr>
          <w:rFonts w:ascii="Garamond" w:hAnsi="Garamond"/>
          <w:b/>
          <w:bCs/>
          <w:sz w:val="24"/>
          <w:szCs w:val="24"/>
          <w:lang w:val="sq-AL"/>
        </w:rPr>
        <w:t>ÇËSHTJA IBRAHIMI DHE TË TJERË KUNDËR SHQIPËRISË</w:t>
      </w:r>
    </w:p>
    <w:p w14:paraId="3D01EB7B" w14:textId="77777777" w:rsidR="000C31F2" w:rsidRPr="00FC26A2" w:rsidRDefault="000C31F2" w:rsidP="00900957">
      <w:pPr>
        <w:spacing w:after="0" w:line="240" w:lineRule="auto"/>
        <w:ind w:firstLine="284"/>
        <w:jc w:val="center"/>
        <w:outlineLvl w:val="0"/>
        <w:rPr>
          <w:rFonts w:ascii="Garamond" w:hAnsi="Garamond"/>
          <w:i/>
          <w:iCs/>
          <w:sz w:val="24"/>
          <w:szCs w:val="24"/>
          <w:lang w:val="sq-AL"/>
        </w:rPr>
      </w:pPr>
    </w:p>
    <w:p w14:paraId="08E84D9F" w14:textId="5226FE98" w:rsidR="000C31F2" w:rsidRPr="00FC26A2" w:rsidRDefault="000C31F2" w:rsidP="00900957">
      <w:pPr>
        <w:spacing w:after="0" w:line="240" w:lineRule="auto"/>
        <w:ind w:firstLine="284"/>
        <w:jc w:val="center"/>
        <w:outlineLvl w:val="0"/>
        <w:rPr>
          <w:rFonts w:ascii="Garamond" w:hAnsi="Garamond"/>
          <w:i/>
          <w:iCs/>
          <w:sz w:val="24"/>
          <w:szCs w:val="24"/>
          <w:lang w:val="sq-AL"/>
        </w:rPr>
      </w:pPr>
      <w:r w:rsidRPr="00FC26A2">
        <w:rPr>
          <w:rFonts w:ascii="Garamond" w:hAnsi="Garamond"/>
          <w:i/>
          <w:iCs/>
          <w:sz w:val="24"/>
          <w:szCs w:val="24"/>
          <w:lang w:val="sq-AL"/>
        </w:rPr>
        <w:t>(Kërkesat nr. 81057/17 dhe 4 të tjera – shih listën bashkëlidhur)</w:t>
      </w:r>
    </w:p>
    <w:p w14:paraId="41E6E689" w14:textId="77777777" w:rsidR="000C31F2" w:rsidRPr="00FC26A2" w:rsidRDefault="000C31F2" w:rsidP="00900957">
      <w:pPr>
        <w:spacing w:after="0" w:line="240" w:lineRule="auto"/>
        <w:ind w:firstLine="284"/>
        <w:jc w:val="center"/>
        <w:outlineLvl w:val="0"/>
        <w:rPr>
          <w:rFonts w:ascii="Garamond" w:hAnsi="Garamond"/>
          <w:sz w:val="24"/>
          <w:szCs w:val="24"/>
          <w:lang w:val="sq-AL"/>
        </w:rPr>
      </w:pPr>
    </w:p>
    <w:p w14:paraId="18D92D19" w14:textId="3BB5A0CF" w:rsidR="000C31F2" w:rsidRPr="00FC26A2" w:rsidRDefault="000C31F2" w:rsidP="00900957">
      <w:pPr>
        <w:spacing w:after="0" w:line="240" w:lineRule="auto"/>
        <w:ind w:firstLine="284"/>
        <w:jc w:val="center"/>
        <w:outlineLvl w:val="0"/>
        <w:rPr>
          <w:rFonts w:ascii="Garamond" w:hAnsi="Garamond"/>
          <w:sz w:val="24"/>
          <w:szCs w:val="24"/>
          <w:lang w:val="sq-AL"/>
        </w:rPr>
      </w:pPr>
      <w:r w:rsidRPr="00FC26A2">
        <w:rPr>
          <w:rFonts w:ascii="Garamond" w:hAnsi="Garamond"/>
          <w:sz w:val="24"/>
          <w:szCs w:val="24"/>
          <w:lang w:val="sq-AL"/>
        </w:rPr>
        <w:t>VENDIM</w:t>
      </w:r>
    </w:p>
    <w:p w14:paraId="4C8001B9" w14:textId="77777777" w:rsidR="000C31F2" w:rsidRPr="00FC26A2" w:rsidRDefault="000C31F2" w:rsidP="00900957">
      <w:pPr>
        <w:spacing w:after="0" w:line="240" w:lineRule="auto"/>
        <w:ind w:firstLine="284"/>
        <w:jc w:val="center"/>
        <w:outlineLvl w:val="0"/>
        <w:rPr>
          <w:rFonts w:ascii="Garamond" w:hAnsi="Garamond"/>
          <w:sz w:val="24"/>
          <w:szCs w:val="24"/>
          <w:lang w:val="sq-AL"/>
        </w:rPr>
      </w:pPr>
      <w:r w:rsidRPr="00FC26A2">
        <w:rPr>
          <w:rFonts w:ascii="Garamond" w:hAnsi="Garamond"/>
          <w:sz w:val="24"/>
          <w:szCs w:val="24"/>
          <w:lang w:val="sq-AL"/>
        </w:rPr>
        <w:t>STRASBURG</w:t>
      </w:r>
    </w:p>
    <w:p w14:paraId="65CF05C6" w14:textId="27B03497" w:rsidR="000C31F2" w:rsidRPr="00FC26A2" w:rsidRDefault="000C31F2" w:rsidP="00900957">
      <w:pPr>
        <w:spacing w:after="0" w:line="240" w:lineRule="auto"/>
        <w:ind w:firstLine="284"/>
        <w:jc w:val="center"/>
        <w:outlineLvl w:val="0"/>
        <w:rPr>
          <w:rFonts w:ascii="Garamond" w:hAnsi="Garamond"/>
          <w:sz w:val="24"/>
          <w:szCs w:val="24"/>
          <w:lang w:val="sq-AL"/>
        </w:rPr>
      </w:pPr>
      <w:r w:rsidRPr="00FC26A2">
        <w:rPr>
          <w:rFonts w:ascii="Garamond" w:hAnsi="Garamond"/>
          <w:sz w:val="24"/>
          <w:szCs w:val="24"/>
          <w:lang w:val="sq-AL"/>
        </w:rPr>
        <w:t xml:space="preserve">14 </w:t>
      </w:r>
      <w:r w:rsidR="00FC26A2" w:rsidRPr="00FC26A2">
        <w:rPr>
          <w:rFonts w:ascii="Garamond" w:hAnsi="Garamond"/>
          <w:sz w:val="24"/>
          <w:szCs w:val="24"/>
          <w:lang w:val="sq-AL"/>
        </w:rPr>
        <w:t xml:space="preserve">janar </w:t>
      </w:r>
      <w:r w:rsidRPr="00FC26A2">
        <w:rPr>
          <w:rFonts w:ascii="Garamond" w:hAnsi="Garamond"/>
          <w:sz w:val="24"/>
          <w:szCs w:val="24"/>
          <w:lang w:val="sq-AL"/>
        </w:rPr>
        <w:t>2025</w:t>
      </w:r>
    </w:p>
    <w:p w14:paraId="3D547233" w14:textId="77777777" w:rsidR="000C31F2" w:rsidRPr="00FC26A2" w:rsidRDefault="000C31F2" w:rsidP="00900957">
      <w:pPr>
        <w:spacing w:after="0" w:line="240" w:lineRule="auto"/>
        <w:ind w:firstLine="284"/>
        <w:jc w:val="center"/>
        <w:outlineLvl w:val="0"/>
        <w:rPr>
          <w:rFonts w:ascii="Garamond" w:hAnsi="Garamond"/>
          <w:i/>
          <w:iCs/>
          <w:sz w:val="24"/>
          <w:szCs w:val="24"/>
          <w:lang w:val="sq-AL"/>
        </w:rPr>
      </w:pPr>
    </w:p>
    <w:p w14:paraId="4D3FD696" w14:textId="0DB3947F" w:rsidR="000C31F2" w:rsidRPr="00FC26A2" w:rsidRDefault="000C31F2" w:rsidP="00900957">
      <w:pPr>
        <w:spacing w:after="0" w:line="240" w:lineRule="auto"/>
        <w:ind w:firstLine="284"/>
        <w:jc w:val="center"/>
        <w:outlineLvl w:val="0"/>
        <w:rPr>
          <w:rFonts w:ascii="Garamond" w:hAnsi="Garamond"/>
          <w:i/>
          <w:iCs/>
          <w:sz w:val="24"/>
          <w:szCs w:val="24"/>
          <w:lang w:val="sq-AL"/>
        </w:rPr>
      </w:pPr>
      <w:r w:rsidRPr="00FC26A2">
        <w:rPr>
          <w:rFonts w:ascii="Garamond" w:hAnsi="Garamond"/>
          <w:i/>
          <w:iCs/>
          <w:sz w:val="24"/>
          <w:szCs w:val="24"/>
          <w:lang w:val="sq-AL"/>
        </w:rPr>
        <w:t xml:space="preserve">Ky vendim është përfundimtar, por mund të jetë subjekt i rishikimit redaktues. </w:t>
      </w:r>
    </w:p>
    <w:p w14:paraId="290CDDCE" w14:textId="09232BEE" w:rsidR="00AC421F" w:rsidRPr="00FC26A2" w:rsidRDefault="00AC421F" w:rsidP="00900957">
      <w:pPr>
        <w:spacing w:after="0" w:line="240" w:lineRule="auto"/>
        <w:ind w:firstLine="284"/>
        <w:rPr>
          <w:rFonts w:ascii="Garamond" w:hAnsi="Garamond"/>
          <w:sz w:val="24"/>
          <w:szCs w:val="24"/>
          <w:lang w:val="sq-AL" w:eastAsia="ja-JP"/>
        </w:rPr>
      </w:pPr>
    </w:p>
    <w:p w14:paraId="59CD5A20" w14:textId="77777777" w:rsidR="00900957" w:rsidRPr="00FC26A2" w:rsidRDefault="00900957" w:rsidP="00900957">
      <w:pPr>
        <w:pStyle w:val="ECHRPara"/>
        <w:spacing w:after="0" w:line="240" w:lineRule="auto"/>
        <w:ind w:firstLine="284"/>
        <w:rPr>
          <w:rFonts w:ascii="Garamond" w:hAnsi="Garamond"/>
          <w:b/>
          <w:bCs/>
        </w:rPr>
      </w:pPr>
      <w:r w:rsidRPr="00FC26A2">
        <w:rPr>
          <w:rFonts w:ascii="Garamond" w:hAnsi="Garamond"/>
          <w:b/>
          <w:bCs/>
        </w:rPr>
        <w:t>Në çështjen Ibrahimi kundër Shqipërisë</w:t>
      </w:r>
    </w:p>
    <w:p w14:paraId="36075A76" w14:textId="77777777" w:rsidR="00900957" w:rsidRPr="00FC26A2" w:rsidRDefault="00900957" w:rsidP="00900957">
      <w:pPr>
        <w:pStyle w:val="ECHRPara"/>
        <w:spacing w:after="0" w:line="240" w:lineRule="auto"/>
        <w:ind w:firstLine="284"/>
        <w:rPr>
          <w:rFonts w:ascii="Garamond" w:hAnsi="Garamond"/>
        </w:rPr>
      </w:pPr>
      <w:r w:rsidRPr="00FC26A2">
        <w:rPr>
          <w:rFonts w:ascii="Garamond" w:hAnsi="Garamond"/>
        </w:rPr>
        <w:t xml:space="preserve">Gjykata Evropiane e të Drejtave të Njeriut (Seksioni i Tretë), e mbledhur si një Komitet i përbërë nga: </w:t>
      </w:r>
    </w:p>
    <w:p w14:paraId="53263CBA" w14:textId="369FE48A" w:rsidR="00900957" w:rsidRPr="00FC26A2" w:rsidRDefault="00900957" w:rsidP="00900957">
      <w:pPr>
        <w:pStyle w:val="ECHRDecisionBody"/>
        <w:spacing w:after="0" w:line="240" w:lineRule="auto"/>
        <w:ind w:firstLine="284"/>
        <w:rPr>
          <w:rFonts w:ascii="Garamond" w:hAnsi="Garamond"/>
          <w:i/>
          <w:iCs/>
        </w:rPr>
      </w:pPr>
      <w:r w:rsidRPr="00FC26A2">
        <w:rPr>
          <w:rFonts w:ascii="Garamond" w:hAnsi="Garamond"/>
        </w:rPr>
        <w:t>L</w:t>
      </w:r>
      <w:r w:rsidR="00B6705D" w:rsidRPr="00B6705D">
        <w:rPr>
          <w:bCs/>
          <w:color w:val="auto"/>
          <w:shd w:val="clear" w:color="auto" w:fill="FFFFFF"/>
        </w:rPr>
        <w:t>ə</w:t>
      </w:r>
      <w:r w:rsidRPr="00FC26A2">
        <w:rPr>
          <w:rFonts w:ascii="Garamond" w:hAnsi="Garamond"/>
        </w:rPr>
        <w:t>tif Hüseynov,</w:t>
      </w:r>
      <w:r w:rsidRPr="00FC26A2">
        <w:rPr>
          <w:rFonts w:ascii="Garamond" w:hAnsi="Garamond"/>
          <w:i/>
          <w:iCs/>
        </w:rPr>
        <w:t xml:space="preserve"> </w:t>
      </w:r>
      <w:r w:rsidR="00FC26A2" w:rsidRPr="00FC26A2">
        <w:rPr>
          <w:rFonts w:ascii="Garamond" w:hAnsi="Garamond"/>
          <w:i/>
          <w:iCs/>
        </w:rPr>
        <w:t>kryetar</w:t>
      </w:r>
      <w:r w:rsidRPr="00FC26A2">
        <w:rPr>
          <w:rFonts w:ascii="Garamond" w:hAnsi="Garamond"/>
          <w:i/>
          <w:iCs/>
        </w:rPr>
        <w:t>,</w:t>
      </w:r>
    </w:p>
    <w:p w14:paraId="7CF49FEE" w14:textId="735326AA" w:rsidR="00900957" w:rsidRPr="00FC26A2" w:rsidRDefault="00900957" w:rsidP="00900957">
      <w:pPr>
        <w:pStyle w:val="ECHRDecisionBody"/>
        <w:spacing w:after="0" w:line="240" w:lineRule="auto"/>
        <w:ind w:firstLine="284"/>
        <w:rPr>
          <w:rFonts w:ascii="Garamond" w:hAnsi="Garamond"/>
          <w:i/>
          <w:iCs/>
        </w:rPr>
      </w:pPr>
      <w:r w:rsidRPr="00FC26A2">
        <w:rPr>
          <w:rFonts w:ascii="Garamond" w:hAnsi="Garamond"/>
        </w:rPr>
        <w:t>Darian Pavli,</w:t>
      </w:r>
      <w:r w:rsidRPr="00FC26A2">
        <w:rPr>
          <w:rFonts w:ascii="Garamond" w:hAnsi="Garamond"/>
          <w:i/>
          <w:iCs/>
        </w:rPr>
        <w:t xml:space="preserve"> </w:t>
      </w:r>
    </w:p>
    <w:p w14:paraId="4FA87109" w14:textId="57FF3A66" w:rsidR="00900957" w:rsidRPr="00FC26A2" w:rsidRDefault="00900957" w:rsidP="00900957">
      <w:pPr>
        <w:pStyle w:val="ECHRDecisionBody"/>
        <w:spacing w:after="0" w:line="240" w:lineRule="auto"/>
        <w:ind w:firstLine="284"/>
        <w:rPr>
          <w:rFonts w:ascii="Garamond" w:hAnsi="Garamond"/>
          <w:i/>
          <w:iCs/>
        </w:rPr>
      </w:pPr>
      <w:r w:rsidRPr="00FC26A2">
        <w:rPr>
          <w:rFonts w:ascii="Garamond" w:hAnsi="Garamond"/>
        </w:rPr>
        <w:t xml:space="preserve">Úna Ní Raifeartaigh, </w:t>
      </w:r>
      <w:r w:rsidRPr="00FC26A2">
        <w:rPr>
          <w:rFonts w:ascii="Garamond" w:hAnsi="Garamond"/>
          <w:i/>
          <w:iCs/>
        </w:rPr>
        <w:t>gjyqtarë</w:t>
      </w:r>
    </w:p>
    <w:p w14:paraId="0C053E9D" w14:textId="54FB140E" w:rsidR="00900957" w:rsidRPr="00FC26A2" w:rsidRDefault="00900957" w:rsidP="00900957">
      <w:pPr>
        <w:pStyle w:val="ECHRDecisionBody"/>
        <w:spacing w:after="0" w:line="240" w:lineRule="auto"/>
        <w:ind w:firstLine="284"/>
        <w:rPr>
          <w:rFonts w:ascii="Garamond" w:hAnsi="Garamond"/>
        </w:rPr>
      </w:pPr>
      <w:r w:rsidRPr="00FC26A2">
        <w:rPr>
          <w:rFonts w:ascii="Garamond" w:hAnsi="Garamond"/>
        </w:rPr>
        <w:t xml:space="preserve">dhe Olga Chernishova, </w:t>
      </w:r>
      <w:r w:rsidR="00FC26A2" w:rsidRPr="00FC26A2">
        <w:rPr>
          <w:rFonts w:ascii="Garamond" w:hAnsi="Garamond"/>
          <w:i/>
          <w:iCs/>
        </w:rPr>
        <w:t xml:space="preserve">zëvendëssekretare </w:t>
      </w:r>
      <w:r w:rsidRPr="00FC26A2">
        <w:rPr>
          <w:rFonts w:ascii="Garamond" w:hAnsi="Garamond"/>
          <w:i/>
          <w:iCs/>
        </w:rPr>
        <w:t>e Seksionit,</w:t>
      </w:r>
    </w:p>
    <w:p w14:paraId="403FC66E" w14:textId="00C42C7D" w:rsidR="00900957" w:rsidRPr="00FC26A2" w:rsidRDefault="00485676" w:rsidP="00900957">
      <w:pPr>
        <w:pStyle w:val="ECHRDecisionBody"/>
        <w:spacing w:after="0" w:line="240" w:lineRule="auto"/>
        <w:ind w:firstLine="284"/>
        <w:jc w:val="both"/>
        <w:rPr>
          <w:rFonts w:ascii="Garamond" w:hAnsi="Garamond"/>
        </w:rPr>
      </w:pPr>
      <w:r w:rsidRPr="00FC26A2">
        <w:rPr>
          <w:rFonts w:ascii="Garamond" w:hAnsi="Garamond"/>
        </w:rPr>
        <w:t xml:space="preserve">Duke </w:t>
      </w:r>
      <w:r w:rsidR="00900957" w:rsidRPr="00FC26A2">
        <w:rPr>
          <w:rFonts w:ascii="Garamond" w:hAnsi="Garamond"/>
        </w:rPr>
        <w:t xml:space="preserve">mbajtur në konsideratë: </w:t>
      </w:r>
    </w:p>
    <w:p w14:paraId="69AC490B" w14:textId="7AF6C4EF"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kërkesat kundër Republikës së Shqipërisë depozituar në Gjykatë në mbështetje të </w:t>
      </w:r>
      <w:r w:rsidR="00CF69DB" w:rsidRPr="00FC26A2">
        <w:rPr>
          <w:rFonts w:ascii="Garamond" w:hAnsi="Garamond"/>
        </w:rPr>
        <w:t xml:space="preserve">nenit </w:t>
      </w:r>
      <w:r w:rsidRPr="00FC26A2">
        <w:rPr>
          <w:rFonts w:ascii="Garamond" w:hAnsi="Garamond"/>
        </w:rPr>
        <w:t xml:space="preserve">34 të Konventës për Mbrojtjen e të Drejtave të Njeriut dhe Lirive Themelore (“Konventa”) nga kërkuesit e listuar në tabelën bashkëlidhur (“kërkuesit”), në data të ndryshme të përcaktuara në atë tabelë; </w:t>
      </w:r>
    </w:p>
    <w:p w14:paraId="117B1818" w14:textId="40F6CD5F"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 vendimin për të njoftuar Qeverinë Shqiptare (“Qeveria”) e përfaqësuar nga Agjenti i saj, </w:t>
      </w:r>
      <w:r w:rsidR="00CF69DB" w:rsidRPr="00FC26A2">
        <w:rPr>
          <w:rFonts w:ascii="Garamond" w:hAnsi="Garamond"/>
        </w:rPr>
        <w:t>z</w:t>
      </w:r>
      <w:r w:rsidRPr="00FC26A2">
        <w:rPr>
          <w:rFonts w:ascii="Garamond" w:hAnsi="Garamond"/>
        </w:rPr>
        <w:t>.</w:t>
      </w:r>
      <w:r w:rsidR="00CF69DB">
        <w:rPr>
          <w:rFonts w:ascii="Garamond" w:hAnsi="Garamond"/>
        </w:rPr>
        <w:t xml:space="preserve"> </w:t>
      </w:r>
      <w:r w:rsidRPr="00FC26A2">
        <w:rPr>
          <w:rFonts w:ascii="Garamond" w:hAnsi="Garamond"/>
        </w:rPr>
        <w:t>O</w:t>
      </w:r>
      <w:r w:rsidR="00CF69DB">
        <w:rPr>
          <w:rFonts w:ascii="Garamond" w:hAnsi="Garamond"/>
        </w:rPr>
        <w:t>.</w:t>
      </w:r>
      <w:r w:rsidRPr="00FC26A2">
        <w:rPr>
          <w:rFonts w:ascii="Garamond" w:hAnsi="Garamond"/>
        </w:rPr>
        <w:t xml:space="preserve"> Moçka, Avokati i Përgjithshëm i Shtetit, mbi kërkesat e bëra në lidhje me të drejtën e kërkuesit për t’iu drejtuar Gjykatës Kushtetuese, si edhe me të drejtën e kërkuesit për të marrë pjesë personalisht gjatë procedurave penale ndaj tij, dhe për t’u vetëmbrojtur me anë të ndihmës juridike sipas zgjedhjes së tij në një seancë të mbajtur në Gjykatën e Lartë me kërkesën nr. 81057/17, dhe të drejtën e kompanisë kërkuese për të marrë pjesë në procedurat e mbajtura në Gjykatën e Rrethit Tiranë në kërkesën nr. 7386/22, dhe për ta shpallur të papranueshme pjesën tjetër të kërkesave;</w:t>
      </w:r>
    </w:p>
    <w:p w14:paraId="3A58162E" w14:textId="7A5269AC"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vërejtjet e palëve; </w:t>
      </w:r>
    </w:p>
    <w:p w14:paraId="6057A4CC" w14:textId="74621D87"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komentet e paraqitura nga Res Publica, të cilëve iu ishte dhënë leja për të ndërhyrë nga Kryetari i Seksionit, dhe vërejtjet e kërkuesit si përgjigje ndaj parashtrimeve të palëve të treta; </w:t>
      </w:r>
    </w:p>
    <w:p w14:paraId="1D5A07E5" w14:textId="0985FDB1"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Pasi diskutoi me dyer të mbyllura më 3 </w:t>
      </w:r>
      <w:r w:rsidR="00CF69DB" w:rsidRPr="00FC26A2">
        <w:rPr>
          <w:rFonts w:ascii="Garamond" w:hAnsi="Garamond"/>
        </w:rPr>
        <w:t xml:space="preserve">dhjetor </w:t>
      </w:r>
      <w:r w:rsidRPr="00FC26A2">
        <w:rPr>
          <w:rFonts w:ascii="Garamond" w:hAnsi="Garamond"/>
        </w:rPr>
        <w:t xml:space="preserve">2024, </w:t>
      </w:r>
    </w:p>
    <w:p w14:paraId="21ED913E" w14:textId="05FE5816"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Shpall vendimin e mëposhtëm, që u miratua në të njëjtën datë: </w:t>
      </w:r>
    </w:p>
    <w:p w14:paraId="6FC748D6" w14:textId="77777777"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LËNDA E ÇËSHTJES</w:t>
      </w:r>
    </w:p>
    <w:p w14:paraId="46261121" w14:textId="627CDB9C"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1. Çështjet në fjalë kanë të bëjnë me procedura</w:t>
      </w:r>
      <w:r w:rsidR="00FC26A2" w:rsidRPr="00FC26A2">
        <w:rPr>
          <w:rFonts w:ascii="Garamond" w:hAnsi="Garamond"/>
        </w:rPr>
        <w:t xml:space="preserve"> </w:t>
      </w:r>
      <w:r w:rsidRPr="00FC26A2">
        <w:rPr>
          <w:rFonts w:ascii="Garamond" w:hAnsi="Garamond"/>
        </w:rPr>
        <w:t xml:space="preserve">të ndryshme të mbajtura në gjykatat </w:t>
      </w:r>
      <w:r w:rsidR="00485676">
        <w:rPr>
          <w:rFonts w:ascii="Garamond" w:hAnsi="Garamond"/>
        </w:rPr>
        <w:t>vendë</w:t>
      </w:r>
      <w:r w:rsidRPr="00FC26A2">
        <w:rPr>
          <w:rFonts w:ascii="Garamond" w:hAnsi="Garamond"/>
        </w:rPr>
        <w:t>se</w:t>
      </w:r>
      <w:r w:rsidR="00485676">
        <w:rPr>
          <w:rFonts w:ascii="Garamond" w:hAnsi="Garamond"/>
        </w:rPr>
        <w:t>,</w:t>
      </w:r>
      <w:r w:rsidRPr="00FC26A2">
        <w:rPr>
          <w:rFonts w:ascii="Garamond" w:hAnsi="Garamond"/>
        </w:rPr>
        <w:t xml:space="preserve"> ku kërkuesit parashtronin ankesat e tyre kushtetuese ndaj vendimeve të Gjykatës së Lartë të miratuara në çështjet e tyre re</w:t>
      </w:r>
      <w:r w:rsidR="00485676" w:rsidRPr="00FC26A2">
        <w:rPr>
          <w:rFonts w:ascii="Garamond" w:hAnsi="Garamond"/>
        </w:rPr>
        <w:t>s</w:t>
      </w:r>
      <w:r w:rsidRPr="00FC26A2">
        <w:rPr>
          <w:rFonts w:ascii="Garamond" w:hAnsi="Garamond"/>
        </w:rPr>
        <w:t>pektive. Në të gjitha çështjet, Gjykata Kushtetuese i shpallte ankesat kushtetuese të kërkuesve të papranueshme</w:t>
      </w:r>
      <w:r w:rsidR="00B876B5">
        <w:rPr>
          <w:rFonts w:ascii="Garamond" w:hAnsi="Garamond"/>
        </w:rPr>
        <w:t>,</w:t>
      </w:r>
      <w:r w:rsidRPr="00FC26A2">
        <w:rPr>
          <w:rFonts w:ascii="Garamond" w:hAnsi="Garamond"/>
        </w:rPr>
        <w:t xml:space="preserve"> pasi ishin paraqitur jashtë afatit prej katër muajsh, duke e nisur numërimin që prej datës kur ishin miratuar vendimet e kundërshtuara të Gjykatës së Lartë, dhe jo prej datës në të cilën kërkuesit kishin mësuar për to efektivisht. </w:t>
      </w:r>
      <w:r w:rsidR="00485676">
        <w:rPr>
          <w:rFonts w:ascii="Garamond" w:hAnsi="Garamond"/>
        </w:rPr>
        <w:t xml:space="preserve"> </w:t>
      </w:r>
    </w:p>
    <w:p w14:paraId="3D6BE738" w14:textId="068E8FDA"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2. Në kërkesat nr. 57542/18, 32939/21, 54121/21 dhe 7386/22, Gjykata Kushtetuese gjykonte se sa herë që një palë kërkon që t’i ofrohet vendimi, gjykata që e ka lëshuar vendimin konkret do të duhet të vendosë një vulë në vendim, dhe se kjo vulë nuk mund të shërbejë si provë vendimtare e datës në </w:t>
      </w:r>
      <w:r w:rsidRPr="00FC26A2">
        <w:rPr>
          <w:rFonts w:ascii="Garamond" w:hAnsi="Garamond"/>
        </w:rPr>
        <w:lastRenderedPageBreak/>
        <w:t>të cilën vendimi i kundërshtuar i është dhënë fillimisht një pale. Gjykata Kushtetuese gjykonte se i takonte palës që të provonte se nuk i ishte dorëzuar vendimi i kundërshtuar në një datë më të hershme.</w:t>
      </w:r>
    </w:p>
    <w:p w14:paraId="6F922D14" w14:textId="77777777" w:rsidR="00900957" w:rsidRPr="00FC26A2" w:rsidRDefault="00900957" w:rsidP="00900957">
      <w:pPr>
        <w:pStyle w:val="ECHRDecisionBody"/>
        <w:spacing w:after="0" w:line="240" w:lineRule="auto"/>
        <w:ind w:firstLine="284"/>
        <w:jc w:val="both"/>
        <w:rPr>
          <w:rFonts w:ascii="Garamond" w:hAnsi="Garamond"/>
        </w:rPr>
      </w:pPr>
    </w:p>
    <w:p w14:paraId="55D83B05" w14:textId="4ADAFEE4" w:rsidR="00900957" w:rsidRPr="00FC26A2" w:rsidRDefault="00900957" w:rsidP="00900957">
      <w:pPr>
        <w:pStyle w:val="ECHRDecisionBody"/>
        <w:spacing w:after="0" w:line="240" w:lineRule="auto"/>
        <w:ind w:firstLine="284"/>
        <w:jc w:val="both"/>
        <w:rPr>
          <w:rFonts w:ascii="Garamond" w:hAnsi="Garamond"/>
          <w:i/>
          <w:iCs/>
        </w:rPr>
      </w:pPr>
      <w:r w:rsidRPr="00FC26A2">
        <w:rPr>
          <w:rFonts w:ascii="Garamond" w:hAnsi="Garamond"/>
          <w:i/>
          <w:iCs/>
        </w:rPr>
        <w:t>1. Ibrahimi kundër Shqipërisë, nr. 8105/17</w:t>
      </w:r>
    </w:p>
    <w:p w14:paraId="635D183D" w14:textId="75A4372A"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3.</w:t>
      </w:r>
      <w:r w:rsidR="00FC26A2" w:rsidRPr="00FC26A2">
        <w:rPr>
          <w:rFonts w:ascii="Garamond" w:hAnsi="Garamond"/>
        </w:rPr>
        <w:t xml:space="preserve"> </w:t>
      </w:r>
      <w:r w:rsidRPr="00FC26A2">
        <w:rPr>
          <w:rFonts w:ascii="Garamond" w:hAnsi="Garamond"/>
        </w:rPr>
        <w:t>Çështja ka të bëjë me procedurat penale ndaj kërkuesit gjatë të cilave ai ishte dënuar me pesëmbëdhjetë v</w:t>
      </w:r>
      <w:r w:rsidR="00B876B5">
        <w:rPr>
          <w:rFonts w:ascii="Garamond" w:hAnsi="Garamond"/>
        </w:rPr>
        <w:t>jet</w:t>
      </w:r>
      <w:r w:rsidRPr="00FC26A2">
        <w:rPr>
          <w:rFonts w:ascii="Garamond" w:hAnsi="Garamond"/>
        </w:rPr>
        <w:t xml:space="preserve"> burgim për vrasje. Në këto procedura, Gjykata e Lartë e ka miratuar vendimin e saj më 25 </w:t>
      </w:r>
      <w:r w:rsidR="00C27509" w:rsidRPr="00FC26A2">
        <w:rPr>
          <w:rFonts w:ascii="Garamond" w:hAnsi="Garamond"/>
        </w:rPr>
        <w:t xml:space="preserve">qershor </w:t>
      </w:r>
      <w:r w:rsidRPr="00FC26A2">
        <w:rPr>
          <w:rFonts w:ascii="Garamond" w:hAnsi="Garamond"/>
        </w:rPr>
        <w:t xml:space="preserve">2015. Më 12 </w:t>
      </w:r>
      <w:r w:rsidR="00C27509" w:rsidRPr="00FC26A2">
        <w:rPr>
          <w:rFonts w:ascii="Garamond" w:hAnsi="Garamond"/>
        </w:rPr>
        <w:t xml:space="preserve">maj </w:t>
      </w:r>
      <w:r w:rsidRPr="00FC26A2">
        <w:rPr>
          <w:rFonts w:ascii="Garamond" w:hAnsi="Garamond"/>
        </w:rPr>
        <w:t>2017, autoritetet e burgjeve i dorëzuan kërkuesit një letër të Gjykatës së Lartë</w:t>
      </w:r>
      <w:r w:rsidR="00C27509">
        <w:rPr>
          <w:rFonts w:ascii="Garamond" w:hAnsi="Garamond"/>
        </w:rPr>
        <w:t>,</w:t>
      </w:r>
      <w:r w:rsidRPr="00FC26A2">
        <w:rPr>
          <w:rFonts w:ascii="Garamond" w:hAnsi="Garamond"/>
        </w:rPr>
        <w:t xml:space="preserve"> me anë të së cilës kërkuesi njoftohej për vendimin e saj. </w:t>
      </w:r>
    </w:p>
    <w:p w14:paraId="0577CBCF" w14:textId="672CE55B"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4. Ankesa kushtetuese e kërkuesit e paraqitur më 5 </w:t>
      </w:r>
      <w:r w:rsidR="00C27509" w:rsidRPr="00FC26A2">
        <w:rPr>
          <w:rFonts w:ascii="Garamond" w:hAnsi="Garamond"/>
        </w:rPr>
        <w:t xml:space="preserve">qershor </w:t>
      </w:r>
      <w:r w:rsidRPr="00FC26A2">
        <w:rPr>
          <w:rFonts w:ascii="Garamond" w:hAnsi="Garamond"/>
        </w:rPr>
        <w:t>2017</w:t>
      </w:r>
      <w:r w:rsidR="00C27509">
        <w:rPr>
          <w:rFonts w:ascii="Garamond" w:hAnsi="Garamond"/>
        </w:rPr>
        <w:t>,</w:t>
      </w:r>
      <w:r w:rsidRPr="00FC26A2">
        <w:rPr>
          <w:rFonts w:ascii="Garamond" w:hAnsi="Garamond"/>
        </w:rPr>
        <w:t xml:space="preserve"> m</w:t>
      </w:r>
      <w:r w:rsidR="00C27509">
        <w:rPr>
          <w:rFonts w:ascii="Garamond" w:hAnsi="Garamond"/>
        </w:rPr>
        <w:t>e</w:t>
      </w:r>
      <w:r w:rsidRPr="00FC26A2">
        <w:rPr>
          <w:rFonts w:ascii="Garamond" w:hAnsi="Garamond"/>
        </w:rPr>
        <w:t xml:space="preserve"> anë të së cilës ai ankohej për shkeljen e </w:t>
      </w:r>
      <w:r w:rsidR="00C27509">
        <w:rPr>
          <w:rFonts w:ascii="Garamond" w:hAnsi="Garamond"/>
        </w:rPr>
        <w:t>s</w:t>
      </w:r>
      <w:r w:rsidRPr="00FC26A2">
        <w:rPr>
          <w:rFonts w:ascii="Garamond" w:hAnsi="Garamond"/>
        </w:rPr>
        <w:t xml:space="preserve">ë drejtës së tij për t’u njoftuar për një seancë pranë Gjykatës së Lartë dhe </w:t>
      </w:r>
      <w:r w:rsidR="00C27509">
        <w:rPr>
          <w:rFonts w:ascii="Garamond" w:hAnsi="Garamond"/>
        </w:rPr>
        <w:t>të s</w:t>
      </w:r>
      <w:r w:rsidRPr="00FC26A2">
        <w:rPr>
          <w:rFonts w:ascii="Garamond" w:hAnsi="Garamond"/>
        </w:rPr>
        <w:t xml:space="preserve">ë drejtës së tij për ndihmë juridike u shpall e papranueshme nga Gjykata Kushtetuese më 16 </w:t>
      </w:r>
      <w:r w:rsidR="00C27509" w:rsidRPr="00FC26A2">
        <w:rPr>
          <w:rFonts w:ascii="Garamond" w:hAnsi="Garamond"/>
        </w:rPr>
        <w:t xml:space="preserve">qershor </w:t>
      </w:r>
      <w:r w:rsidRPr="00FC26A2">
        <w:rPr>
          <w:rFonts w:ascii="Garamond" w:hAnsi="Garamond"/>
        </w:rPr>
        <w:t>2017</w:t>
      </w:r>
      <w:r w:rsidR="00C27509">
        <w:rPr>
          <w:rFonts w:ascii="Garamond" w:hAnsi="Garamond"/>
        </w:rPr>
        <w:t xml:space="preserve">, </w:t>
      </w:r>
      <w:r w:rsidRPr="00FC26A2">
        <w:rPr>
          <w:rFonts w:ascii="Garamond" w:hAnsi="Garamond"/>
        </w:rPr>
        <w:t xml:space="preserve">si e paraqitur jashtë afatit, duke e nisur numërimin e ditëve nga data kur ishte miratuar vendimi i Gjykatës së Lartë. </w:t>
      </w:r>
    </w:p>
    <w:p w14:paraId="263AD10F" w14:textId="3D0088D1" w:rsidR="00900957" w:rsidRPr="00FC26A2" w:rsidRDefault="00900957" w:rsidP="00900957">
      <w:pPr>
        <w:pStyle w:val="ECHRDecisionBody"/>
        <w:spacing w:after="0" w:line="240" w:lineRule="auto"/>
        <w:ind w:firstLine="284"/>
        <w:jc w:val="both"/>
        <w:rPr>
          <w:rFonts w:ascii="Garamond" w:hAnsi="Garamond"/>
          <w:i/>
          <w:iCs/>
        </w:rPr>
      </w:pPr>
      <w:r w:rsidRPr="00FC26A2">
        <w:rPr>
          <w:rFonts w:ascii="Garamond" w:hAnsi="Garamond"/>
          <w:i/>
          <w:iCs/>
        </w:rPr>
        <w:t>2. Selimi kundër Shqipërisë, nr. 57542/18</w:t>
      </w:r>
    </w:p>
    <w:p w14:paraId="3972F49B" w14:textId="258D8D85"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5. Çështja ka të bëjë me një mosmarrëveshje për pronën në të cilën kërkuesit ishin palë. Në këto procedura, Gjykata e Lartë miratoi vendimin e saj më 25 </w:t>
      </w:r>
      <w:r w:rsidR="00C27509" w:rsidRPr="00FC26A2">
        <w:rPr>
          <w:rFonts w:ascii="Garamond" w:hAnsi="Garamond"/>
        </w:rPr>
        <w:t xml:space="preserve">qershor </w:t>
      </w:r>
      <w:r w:rsidRPr="00FC26A2">
        <w:rPr>
          <w:rFonts w:ascii="Garamond" w:hAnsi="Garamond"/>
        </w:rPr>
        <w:t xml:space="preserve">2015. Ky vendim iu dorëzua kërkuesve më 18 </w:t>
      </w:r>
      <w:r w:rsidR="00C27509" w:rsidRPr="00FC26A2">
        <w:rPr>
          <w:rFonts w:ascii="Garamond" w:hAnsi="Garamond"/>
        </w:rPr>
        <w:t xml:space="preserve">tetor </w:t>
      </w:r>
      <w:r w:rsidRPr="00FC26A2">
        <w:rPr>
          <w:rFonts w:ascii="Garamond" w:hAnsi="Garamond"/>
        </w:rPr>
        <w:t xml:space="preserve">2017. Kërkuesit paraqitën një ankesë kushtetuese më 13 </w:t>
      </w:r>
      <w:r w:rsidR="00C27509" w:rsidRPr="00FC26A2">
        <w:rPr>
          <w:rFonts w:ascii="Garamond" w:hAnsi="Garamond"/>
        </w:rPr>
        <w:t xml:space="preserve">shkurt </w:t>
      </w:r>
      <w:r w:rsidRPr="00FC26A2">
        <w:rPr>
          <w:rFonts w:ascii="Garamond" w:hAnsi="Garamond"/>
        </w:rPr>
        <w:t xml:space="preserve">2018. Më 30 </w:t>
      </w:r>
      <w:r w:rsidR="00C27509" w:rsidRPr="00FC26A2">
        <w:rPr>
          <w:rFonts w:ascii="Garamond" w:hAnsi="Garamond"/>
        </w:rPr>
        <w:t xml:space="preserve">maj </w:t>
      </w:r>
      <w:r w:rsidRPr="00FC26A2">
        <w:rPr>
          <w:rFonts w:ascii="Garamond" w:hAnsi="Garamond"/>
        </w:rPr>
        <w:t>2018, Gjykata Kushtetuese e shpalli të papranueshme</w:t>
      </w:r>
      <w:r w:rsidR="00C27509">
        <w:rPr>
          <w:rFonts w:ascii="Garamond" w:hAnsi="Garamond"/>
        </w:rPr>
        <w:t xml:space="preserve">, </w:t>
      </w:r>
      <w:r w:rsidRPr="00FC26A2">
        <w:rPr>
          <w:rFonts w:ascii="Garamond" w:hAnsi="Garamond"/>
        </w:rPr>
        <w:t xml:space="preserve">pasi ankesa ishte dorëzuar pas përfundimit të afatit katërmujor, duke e nisur numërimin që prej datës kur ishte miratuar vendimi i kundërshtuar i Gjykatës së Lartë. </w:t>
      </w:r>
    </w:p>
    <w:p w14:paraId="571580C7" w14:textId="39ECAF13" w:rsidR="00900957" w:rsidRPr="00FC26A2" w:rsidRDefault="00900957" w:rsidP="00900957">
      <w:pPr>
        <w:pStyle w:val="ECHRDecisionBody"/>
        <w:spacing w:after="0" w:line="240" w:lineRule="auto"/>
        <w:ind w:firstLine="284"/>
        <w:jc w:val="both"/>
        <w:rPr>
          <w:rFonts w:ascii="Garamond" w:hAnsi="Garamond"/>
          <w:i/>
          <w:iCs/>
        </w:rPr>
      </w:pPr>
      <w:r w:rsidRPr="00FC26A2">
        <w:rPr>
          <w:rFonts w:ascii="Garamond" w:hAnsi="Garamond"/>
          <w:i/>
          <w:iCs/>
        </w:rPr>
        <w:t>3. Nika kundër Shqipërisë, nr. 32939/21</w:t>
      </w:r>
    </w:p>
    <w:p w14:paraId="6EFA3B31" w14:textId="1AD6EDBB"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6. Çështja ka të bëjë me procedurat në gjykatat </w:t>
      </w:r>
      <w:r w:rsidR="00C27509">
        <w:rPr>
          <w:rFonts w:ascii="Garamond" w:hAnsi="Garamond"/>
        </w:rPr>
        <w:t>vendë</w:t>
      </w:r>
      <w:r w:rsidRPr="00FC26A2">
        <w:rPr>
          <w:rFonts w:ascii="Garamond" w:hAnsi="Garamond"/>
        </w:rPr>
        <w:t xml:space="preserve">se ku kërkuesja kundërshtoi shkarkimin e saj nga detyra si inspektore në Drejtorinë e Pyjeve Shkodër. Në këto procedura, Gjykata e Lartë miratoi vendimin e saj më 27 </w:t>
      </w:r>
      <w:r w:rsidR="00417258" w:rsidRPr="00FC26A2">
        <w:rPr>
          <w:rFonts w:ascii="Garamond" w:hAnsi="Garamond"/>
        </w:rPr>
        <w:t xml:space="preserve">maj </w:t>
      </w:r>
      <w:r w:rsidRPr="00FC26A2">
        <w:rPr>
          <w:rFonts w:ascii="Garamond" w:hAnsi="Garamond"/>
        </w:rPr>
        <w:t xml:space="preserve">2020. Ky vendim iu dorëzua kërkueses më 14 </w:t>
      </w:r>
      <w:r w:rsidR="00417258" w:rsidRPr="00FC26A2">
        <w:rPr>
          <w:rFonts w:ascii="Garamond" w:hAnsi="Garamond"/>
        </w:rPr>
        <w:t xml:space="preserve">janar </w:t>
      </w:r>
      <w:r w:rsidRPr="00FC26A2">
        <w:rPr>
          <w:rFonts w:ascii="Garamond" w:hAnsi="Garamond"/>
        </w:rPr>
        <w:t xml:space="preserve">2021. Kërkuesja paraqiti një ankesë kushtetuese më 18 </w:t>
      </w:r>
      <w:r w:rsidR="00417258" w:rsidRPr="00FC26A2">
        <w:rPr>
          <w:rFonts w:ascii="Garamond" w:hAnsi="Garamond"/>
        </w:rPr>
        <w:t xml:space="preserve">janar </w:t>
      </w:r>
      <w:r w:rsidRPr="00FC26A2">
        <w:rPr>
          <w:rFonts w:ascii="Garamond" w:hAnsi="Garamond"/>
        </w:rPr>
        <w:t xml:space="preserve">2021. Më 26 </w:t>
      </w:r>
      <w:r w:rsidR="00417258" w:rsidRPr="00FC26A2">
        <w:rPr>
          <w:rFonts w:ascii="Garamond" w:hAnsi="Garamond"/>
        </w:rPr>
        <w:t xml:space="preserve">shkurt </w:t>
      </w:r>
      <w:r w:rsidRPr="00FC26A2">
        <w:rPr>
          <w:rFonts w:ascii="Garamond" w:hAnsi="Garamond"/>
        </w:rPr>
        <w:t>2021, Gjykata Kushtetuese e shpalli ankesën të papranueshme pasi ishte paraqitur jashtë afatit katërmujor, duke e nisur numërimin që prej datës kur ishte miratuar vendimi i kundërshtuar i Gjykatës së Lartë.</w:t>
      </w:r>
    </w:p>
    <w:p w14:paraId="577D71AB" w14:textId="4902891A" w:rsidR="00900957" w:rsidRPr="00FC26A2" w:rsidRDefault="00900957" w:rsidP="00900957">
      <w:pPr>
        <w:pStyle w:val="ECHRDecisionBody"/>
        <w:spacing w:after="0" w:line="240" w:lineRule="auto"/>
        <w:ind w:firstLine="284"/>
        <w:jc w:val="both"/>
        <w:rPr>
          <w:rFonts w:ascii="Garamond" w:hAnsi="Garamond"/>
          <w:i/>
          <w:iCs/>
        </w:rPr>
      </w:pPr>
      <w:r w:rsidRPr="00FC26A2">
        <w:rPr>
          <w:rFonts w:ascii="Garamond" w:hAnsi="Garamond"/>
          <w:i/>
          <w:iCs/>
        </w:rPr>
        <w:t>4. Dedaj kundër Shqipërisë, nr. 54121/21</w:t>
      </w:r>
    </w:p>
    <w:p w14:paraId="027E80E5" w14:textId="034F69D2"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7. Çështja ka të bëjë me procedurat në gjykatat </w:t>
      </w:r>
      <w:r w:rsidR="00165361">
        <w:rPr>
          <w:rFonts w:ascii="Garamond" w:hAnsi="Garamond"/>
        </w:rPr>
        <w:t>vendës</w:t>
      </w:r>
      <w:r w:rsidRPr="00FC26A2">
        <w:rPr>
          <w:rFonts w:ascii="Garamond" w:hAnsi="Garamond"/>
        </w:rPr>
        <w:t xml:space="preserve">e ku kërkuesja kundërshtoi shkarkimin e saj nga detyra. Në këto procedura, Gjykata e Lartë e miratoi vendimin e saj më 27 </w:t>
      </w:r>
      <w:r w:rsidR="007328F0" w:rsidRPr="00FC26A2">
        <w:rPr>
          <w:rFonts w:ascii="Garamond" w:hAnsi="Garamond"/>
        </w:rPr>
        <w:t xml:space="preserve">korrik </w:t>
      </w:r>
      <w:r w:rsidRPr="00FC26A2">
        <w:rPr>
          <w:rFonts w:ascii="Garamond" w:hAnsi="Garamond"/>
        </w:rPr>
        <w:t xml:space="preserve">2020. Ky vendim iu dorëzua kërkueses më 1 </w:t>
      </w:r>
      <w:r w:rsidR="007328F0" w:rsidRPr="00FC26A2">
        <w:rPr>
          <w:rFonts w:ascii="Garamond" w:hAnsi="Garamond"/>
        </w:rPr>
        <w:t xml:space="preserve">prill </w:t>
      </w:r>
      <w:r w:rsidRPr="00FC26A2">
        <w:rPr>
          <w:rFonts w:ascii="Garamond" w:hAnsi="Garamond"/>
        </w:rPr>
        <w:t xml:space="preserve">2021. Kërkuesja paraqiti një ankesë kushtetuese më 9 </w:t>
      </w:r>
      <w:r w:rsidR="007328F0" w:rsidRPr="00FC26A2">
        <w:rPr>
          <w:rFonts w:ascii="Garamond" w:hAnsi="Garamond"/>
        </w:rPr>
        <w:t xml:space="preserve">qershor </w:t>
      </w:r>
      <w:r w:rsidRPr="00FC26A2">
        <w:rPr>
          <w:rFonts w:ascii="Garamond" w:hAnsi="Garamond"/>
        </w:rPr>
        <w:t xml:space="preserve">2021. Më 26 </w:t>
      </w:r>
      <w:r w:rsidR="007328F0" w:rsidRPr="00FC26A2">
        <w:rPr>
          <w:rFonts w:ascii="Garamond" w:hAnsi="Garamond"/>
        </w:rPr>
        <w:t xml:space="preserve">korrik </w:t>
      </w:r>
      <w:r w:rsidRPr="00FC26A2">
        <w:rPr>
          <w:rFonts w:ascii="Garamond" w:hAnsi="Garamond"/>
        </w:rPr>
        <w:t>2021, Gjykata Kushtetuese e shpalli ankesën të papranueshme</w:t>
      </w:r>
      <w:r w:rsidR="007328F0">
        <w:rPr>
          <w:rFonts w:ascii="Garamond" w:hAnsi="Garamond"/>
        </w:rPr>
        <w:t>,</w:t>
      </w:r>
      <w:r w:rsidRPr="00FC26A2">
        <w:rPr>
          <w:rFonts w:ascii="Garamond" w:hAnsi="Garamond"/>
        </w:rPr>
        <w:t xml:space="preserve"> pasi ishte paraqitur jashtë afatit katërmujor, duke e nisur numërimin që prej datës kur ishte miratuar vendimi i kundërshtuar i Gjykatës së Lartë.</w:t>
      </w:r>
    </w:p>
    <w:p w14:paraId="5012A0E1" w14:textId="168AE281" w:rsidR="00900957" w:rsidRPr="00FC26A2" w:rsidRDefault="00900957" w:rsidP="00900957">
      <w:pPr>
        <w:pStyle w:val="ECHRDecisionBody"/>
        <w:spacing w:after="0" w:line="240" w:lineRule="auto"/>
        <w:ind w:firstLine="284"/>
        <w:jc w:val="both"/>
        <w:rPr>
          <w:rFonts w:ascii="Garamond" w:hAnsi="Garamond"/>
          <w:i/>
          <w:iCs/>
        </w:rPr>
      </w:pPr>
      <w:r w:rsidRPr="00FC26A2">
        <w:rPr>
          <w:rFonts w:ascii="Garamond" w:hAnsi="Garamond"/>
          <w:i/>
          <w:iCs/>
        </w:rPr>
        <w:t xml:space="preserve">5. Industri Ndërtim (IN) </w:t>
      </w:r>
      <w:r w:rsidR="007328F0" w:rsidRPr="00FC26A2">
        <w:rPr>
          <w:rFonts w:ascii="Garamond" w:hAnsi="Garamond"/>
          <w:i/>
          <w:iCs/>
        </w:rPr>
        <w:t>sh.p.k</w:t>
      </w:r>
      <w:r w:rsidRPr="00FC26A2">
        <w:rPr>
          <w:rFonts w:ascii="Garamond" w:hAnsi="Garamond"/>
          <w:i/>
          <w:iCs/>
        </w:rPr>
        <w:t>. kundër Shqipërisë, nr. 7386/22</w:t>
      </w:r>
    </w:p>
    <w:p w14:paraId="75B2C4FB" w14:textId="2354E081"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8. Çështja ka të bëjë me procedurat civile që kanë lidhje me detyrimet kontraktuale të kompanisë kërkuese. Në këto procedura, Gjykata e Lartë e miratoi vendimin e saj më 17 </w:t>
      </w:r>
      <w:r w:rsidR="007328F0" w:rsidRPr="00FC26A2">
        <w:rPr>
          <w:rFonts w:ascii="Garamond" w:hAnsi="Garamond"/>
        </w:rPr>
        <w:t xml:space="preserve">shkurt </w:t>
      </w:r>
      <w:r w:rsidRPr="00FC26A2">
        <w:rPr>
          <w:rFonts w:ascii="Garamond" w:hAnsi="Garamond"/>
        </w:rPr>
        <w:t xml:space="preserve">2021. Ky vendim iu dorëzua kompanisë kërkuese më 4 </w:t>
      </w:r>
      <w:r w:rsidR="007328F0" w:rsidRPr="00FC26A2">
        <w:rPr>
          <w:rFonts w:ascii="Garamond" w:hAnsi="Garamond"/>
        </w:rPr>
        <w:t xml:space="preserve">qershor </w:t>
      </w:r>
      <w:r w:rsidRPr="00FC26A2">
        <w:rPr>
          <w:rFonts w:ascii="Garamond" w:hAnsi="Garamond"/>
        </w:rPr>
        <w:t xml:space="preserve">2021. Kompania kërkuese paraqiti një ankesë kushtetuese më 29 </w:t>
      </w:r>
      <w:r w:rsidR="007328F0" w:rsidRPr="00FC26A2">
        <w:rPr>
          <w:rFonts w:ascii="Garamond" w:hAnsi="Garamond"/>
        </w:rPr>
        <w:t xml:space="preserve">shtator </w:t>
      </w:r>
      <w:r w:rsidRPr="00FC26A2">
        <w:rPr>
          <w:rFonts w:ascii="Garamond" w:hAnsi="Garamond"/>
        </w:rPr>
        <w:t xml:space="preserve">2021. Më 29 </w:t>
      </w:r>
      <w:r w:rsidR="007328F0" w:rsidRPr="00FC26A2">
        <w:rPr>
          <w:rFonts w:ascii="Garamond" w:hAnsi="Garamond"/>
        </w:rPr>
        <w:t>tetor</w:t>
      </w:r>
      <w:r w:rsidRPr="00FC26A2">
        <w:rPr>
          <w:rFonts w:ascii="Garamond" w:hAnsi="Garamond"/>
        </w:rPr>
        <w:t>, Gjykata Kushtetuese e shpalli ankesën të papranueshme</w:t>
      </w:r>
      <w:r w:rsidR="007328F0">
        <w:rPr>
          <w:rFonts w:ascii="Garamond" w:hAnsi="Garamond"/>
        </w:rPr>
        <w:t>,</w:t>
      </w:r>
      <w:r w:rsidRPr="00FC26A2">
        <w:rPr>
          <w:rFonts w:ascii="Garamond" w:hAnsi="Garamond"/>
        </w:rPr>
        <w:t xml:space="preserve"> pasi ishte paraqitur jashtë afatit katërmujor, duke e nisur numërimin që prej datës kur ishte miratuar vendimi i kundërshtuar i Gjykatës së Lartë.</w:t>
      </w:r>
    </w:p>
    <w:p w14:paraId="1EE55FD6" w14:textId="77777777"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VLERËSIMI I GJYKATËS</w:t>
      </w:r>
    </w:p>
    <w:p w14:paraId="1C2A22FD" w14:textId="6B62468C"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I. BASHKIMI I KËRKESAVE</w:t>
      </w:r>
    </w:p>
    <w:p w14:paraId="1911DF13" w14:textId="150B2FFB"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9. Duke mbajtur në konsideratë lëndën e ngjashme të kërkesave, Gjykata e gjykon të përshtatshme t’i shqyrtojë ato së bashku në një vendim të vetëm. </w:t>
      </w:r>
    </w:p>
    <w:p w14:paraId="02C6904C" w14:textId="4CC53C32"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II. PRETENDIMI PËR SHKELJE TË NENIT 6 § 1 TË KONVENTËS</w:t>
      </w:r>
    </w:p>
    <w:p w14:paraId="3EAD8EEE" w14:textId="09B29FE0"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lastRenderedPageBreak/>
        <w:t>10. Gjykata vëren se ankesat e kërkuesve në lidhje me të drejtën e tyre për t’iu drejtuar Gjykatës Kushtetuese nuk janë të pambështetura në fakte</w:t>
      </w:r>
      <w:r w:rsidR="007328F0">
        <w:rPr>
          <w:rFonts w:ascii="Garamond" w:hAnsi="Garamond"/>
        </w:rPr>
        <w:t>,</w:t>
      </w:r>
      <w:r w:rsidRPr="00FC26A2">
        <w:rPr>
          <w:rFonts w:ascii="Garamond" w:hAnsi="Garamond"/>
        </w:rPr>
        <w:t xml:space="preserve"> sipas kuptimit të </w:t>
      </w:r>
      <w:r w:rsidR="007328F0" w:rsidRPr="00FC26A2">
        <w:rPr>
          <w:rFonts w:ascii="Garamond" w:hAnsi="Garamond"/>
        </w:rPr>
        <w:t xml:space="preserve">nenit </w:t>
      </w:r>
      <w:r w:rsidRPr="00FC26A2">
        <w:rPr>
          <w:rFonts w:ascii="Garamond" w:hAnsi="Garamond"/>
        </w:rPr>
        <w:t xml:space="preserve">35 § 3 (a) të Konventës apo të papranueshme për ndonjë shkak tjetër. Për këtë arsye, ato duhet të deklarohen të pranueshme. </w:t>
      </w:r>
    </w:p>
    <w:p w14:paraId="23512265" w14:textId="42A8BCAA"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11. Parimet e përgjithshme në lidhje me të drejtën për t’iu drejtuar një gjykate dhe, veçanërisht, për t’iu drejtuar gjykatave të larta janë përmbledhur në çështjen </w:t>
      </w:r>
      <w:r w:rsidRPr="00FC26A2">
        <w:rPr>
          <w:rFonts w:ascii="Garamond" w:hAnsi="Garamond"/>
          <w:i/>
          <w:iCs/>
        </w:rPr>
        <w:t xml:space="preserve">Zubac kundër Kroacisë </w:t>
      </w:r>
      <w:r w:rsidRPr="00FC26A2">
        <w:rPr>
          <w:rFonts w:ascii="Garamond" w:hAnsi="Garamond"/>
        </w:rPr>
        <w:t xml:space="preserve">([DHM], nr. 40160/12, §§ 76-99, 5 </w:t>
      </w:r>
      <w:r w:rsidR="007328F0" w:rsidRPr="00FC26A2">
        <w:rPr>
          <w:rFonts w:ascii="Garamond" w:hAnsi="Garamond"/>
        </w:rPr>
        <w:t xml:space="preserve">prill </w:t>
      </w:r>
      <w:r w:rsidRPr="00FC26A2">
        <w:rPr>
          <w:rFonts w:ascii="Garamond" w:hAnsi="Garamond"/>
        </w:rPr>
        <w:t xml:space="preserve">2018). </w:t>
      </w:r>
    </w:p>
    <w:p w14:paraId="7AA13FAD" w14:textId="07084043"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12. Gjykata ka konstatuar më herët një shkelje të </w:t>
      </w:r>
      <w:r w:rsidR="007328F0" w:rsidRPr="00FC26A2">
        <w:rPr>
          <w:rFonts w:ascii="Garamond" w:hAnsi="Garamond"/>
        </w:rPr>
        <w:t xml:space="preserve">nenit </w:t>
      </w:r>
      <w:r w:rsidRPr="00FC26A2">
        <w:rPr>
          <w:rFonts w:ascii="Garamond" w:hAnsi="Garamond"/>
        </w:rPr>
        <w:t xml:space="preserve">6 § 1 të Konventës ku afati për paraqitjen e një ankesë kushtetuese ishte llogaritur nga data kur ishte shpallur vendimi i kundërshtuar i Gjykatës së Lartë dhe jo nga data kur i ishte dorëzuar kërkuesit (shih </w:t>
      </w:r>
      <w:r w:rsidRPr="00FC26A2">
        <w:rPr>
          <w:rFonts w:ascii="Garamond" w:hAnsi="Garamond"/>
          <w:i/>
          <w:iCs/>
        </w:rPr>
        <w:t>Supergrav Albania Shpk kundër Shqipërisë</w:t>
      </w:r>
      <w:r w:rsidRPr="00FC26A2">
        <w:rPr>
          <w:rFonts w:ascii="Garamond" w:hAnsi="Garamond"/>
        </w:rPr>
        <w:t xml:space="preserve">, nr. 20702/18, §§ 17-31, 9 </w:t>
      </w:r>
      <w:r w:rsidR="007328F0" w:rsidRPr="00FC26A2">
        <w:rPr>
          <w:rFonts w:ascii="Garamond" w:hAnsi="Garamond"/>
        </w:rPr>
        <w:t xml:space="preserve">maj </w:t>
      </w:r>
      <w:r w:rsidRPr="00FC26A2">
        <w:rPr>
          <w:rFonts w:ascii="Garamond" w:hAnsi="Garamond"/>
        </w:rPr>
        <w:t xml:space="preserve">2023). </w:t>
      </w:r>
    </w:p>
    <w:p w14:paraId="1714B886" w14:textId="239080FA"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13. Gjithashtu, Gjykata vëren se Gjykata Kushtetuese gjykonte se sa herë që një palë kërkonte që t’i dorëzohej vendimi i Gjykatës së Lartë, në këtë vendim vendosej një vulë me datën e dorëzimit. Sipas këndvështrimit të Gjykatës Kushtetuese, kjo nuk provonte se vendimi nuk i ishte dorëzuar më herët një pale. Megjithatë, Gjykata Kushtetuese nuk e sqaronte se në çfarë mënyre një palë mund të paraqiste provë pozitive për datën e njoftimit të parë (krahaso </w:t>
      </w:r>
      <w:r w:rsidRPr="00FC26A2">
        <w:rPr>
          <w:rFonts w:ascii="Garamond" w:hAnsi="Garamond"/>
          <w:i/>
          <w:iCs/>
        </w:rPr>
        <w:t xml:space="preserve">Aždajić kundër Sllovenisë, </w:t>
      </w:r>
      <w:r w:rsidRPr="00FC26A2">
        <w:rPr>
          <w:rFonts w:ascii="Garamond" w:hAnsi="Garamond"/>
        </w:rPr>
        <w:t xml:space="preserve">nr. 71872/12, § 69, 8 </w:t>
      </w:r>
      <w:r w:rsidR="007328F0" w:rsidRPr="00FC26A2">
        <w:rPr>
          <w:rFonts w:ascii="Garamond" w:hAnsi="Garamond"/>
        </w:rPr>
        <w:t xml:space="preserve">tetor </w:t>
      </w:r>
      <w:r w:rsidRPr="00FC26A2">
        <w:rPr>
          <w:rFonts w:ascii="Garamond" w:hAnsi="Garamond"/>
        </w:rPr>
        <w:t xml:space="preserve">2015), ose përse vetëm një palë duhej të mbante barrën e provës për këtë aspekt. Gjykata gjykon se kryesisht i takon Gjykatës së Lartë të sigurojë se ka prova në dosjen e saj të çështjes për datën e dorëzimit të vendimit të saj te palët (shih, </w:t>
      </w:r>
      <w:r w:rsidRPr="00FC26A2">
        <w:rPr>
          <w:rFonts w:ascii="Garamond" w:hAnsi="Garamond"/>
          <w:i/>
          <w:iCs/>
        </w:rPr>
        <w:t>mutatis mutandis, Zela kundër Shqipërisë</w:t>
      </w:r>
      <w:r w:rsidRPr="00FC26A2">
        <w:rPr>
          <w:rFonts w:ascii="Garamond" w:hAnsi="Garamond"/>
        </w:rPr>
        <w:t xml:space="preserve">, nr. 33164/11, § 38, 11 </w:t>
      </w:r>
      <w:r w:rsidR="007328F0" w:rsidRPr="00FC26A2">
        <w:rPr>
          <w:rFonts w:ascii="Garamond" w:hAnsi="Garamond"/>
        </w:rPr>
        <w:t xml:space="preserve">qershor </w:t>
      </w:r>
      <w:r w:rsidRPr="00FC26A2">
        <w:rPr>
          <w:rFonts w:ascii="Garamond" w:hAnsi="Garamond"/>
        </w:rPr>
        <w:t xml:space="preserve">2024). </w:t>
      </w:r>
    </w:p>
    <w:p w14:paraId="10F7BD15" w14:textId="24CA2696"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14. Në mbështetje të rrethanave të mësipërme, Gjykata arrin në përfundimin se është shkelur edhe </w:t>
      </w:r>
      <w:r w:rsidR="00EB63AC" w:rsidRPr="00FC26A2">
        <w:rPr>
          <w:rFonts w:ascii="Garamond" w:hAnsi="Garamond"/>
        </w:rPr>
        <w:t xml:space="preserve">neni </w:t>
      </w:r>
      <w:r w:rsidRPr="00FC26A2">
        <w:rPr>
          <w:rFonts w:ascii="Garamond" w:hAnsi="Garamond"/>
        </w:rPr>
        <w:t>6 § 1 i Konventës</w:t>
      </w:r>
      <w:r w:rsidR="00EB63AC">
        <w:rPr>
          <w:rFonts w:ascii="Garamond" w:hAnsi="Garamond"/>
        </w:rPr>
        <w:t>,</w:t>
      </w:r>
      <w:r w:rsidRPr="00FC26A2">
        <w:rPr>
          <w:rFonts w:ascii="Garamond" w:hAnsi="Garamond"/>
        </w:rPr>
        <w:t xml:space="preserve"> në lidhje me të drejtën e kërkuesve për t’iu drejtuar Gjykatës Kushtetuese. </w:t>
      </w:r>
    </w:p>
    <w:p w14:paraId="05827E14" w14:textId="362C5BDD"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III. ANKESAT E TJERA</w:t>
      </w:r>
    </w:p>
    <w:p w14:paraId="7372E3C9" w14:textId="5D61679F"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15. Në kërkesën nr. 81057/17, kërkuesi u ankua edhe se e drejta e tij për të marrë pjesë personalisht në procedurat penale ndaj tij, dhe për të mbrojtur veten e tij me anë të ndihmës juridike</w:t>
      </w:r>
      <w:r w:rsidR="00EB63AC">
        <w:rPr>
          <w:rFonts w:ascii="Garamond" w:hAnsi="Garamond"/>
        </w:rPr>
        <w:t>,</w:t>
      </w:r>
      <w:r w:rsidRPr="00FC26A2">
        <w:rPr>
          <w:rFonts w:ascii="Garamond" w:hAnsi="Garamond"/>
        </w:rPr>
        <w:t xml:space="preserve"> sipas zgjedhjes së tij në një seancë dëgjimore zhvilluar në Gjykatën e Lartë</w:t>
      </w:r>
      <w:r w:rsidR="00EB63AC">
        <w:rPr>
          <w:rFonts w:ascii="Garamond" w:hAnsi="Garamond"/>
        </w:rPr>
        <w:t>,</w:t>
      </w:r>
      <w:r w:rsidRPr="00FC26A2">
        <w:rPr>
          <w:rFonts w:ascii="Garamond" w:hAnsi="Garamond"/>
        </w:rPr>
        <w:t xml:space="preserve"> ishin shkelur në kundërshtim me garancitë e parashikuara në </w:t>
      </w:r>
      <w:r w:rsidR="005D5042" w:rsidRPr="00FC26A2">
        <w:rPr>
          <w:rFonts w:ascii="Garamond" w:hAnsi="Garamond"/>
        </w:rPr>
        <w:t xml:space="preserve">nenin </w:t>
      </w:r>
      <w:r w:rsidRPr="00FC26A2">
        <w:rPr>
          <w:rFonts w:ascii="Garamond" w:hAnsi="Garamond"/>
        </w:rPr>
        <w:t xml:space="preserve">6 §§ 1 dhe 3 (c) të Konventës. </w:t>
      </w:r>
    </w:p>
    <w:p w14:paraId="19997C00" w14:textId="2C345EC2"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16. Në kërkesën nr. 7386/22, kompania kërkuese u ankua se ishte shkelur e drejta e saj për të marrë pjesë në procedurat e mbajtura në Gjykatën e Rrethit Tiranë, dhe përbërja e asaj gjykate nuk ishte në përputhje me ligjin, duke qenë që të dyja këto shkelje në kundërshtim me garancitë e parashikuara në </w:t>
      </w:r>
      <w:r w:rsidR="005D5042" w:rsidRPr="00FC26A2">
        <w:rPr>
          <w:rFonts w:ascii="Garamond" w:hAnsi="Garamond"/>
        </w:rPr>
        <w:t xml:space="preserve">nenin </w:t>
      </w:r>
      <w:r w:rsidRPr="00FC26A2">
        <w:rPr>
          <w:rFonts w:ascii="Garamond" w:hAnsi="Garamond"/>
        </w:rPr>
        <w:t xml:space="preserve">6 § 1 të Konventës. </w:t>
      </w:r>
    </w:p>
    <w:p w14:paraId="3036C7B8" w14:textId="5B7803DD"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17. Gjykata ka konstatuar një shkelje të </w:t>
      </w:r>
      <w:r w:rsidR="005D5042" w:rsidRPr="00FC26A2">
        <w:rPr>
          <w:rFonts w:ascii="Garamond" w:hAnsi="Garamond"/>
        </w:rPr>
        <w:t xml:space="preserve">nenit </w:t>
      </w:r>
      <w:r w:rsidRPr="00FC26A2">
        <w:rPr>
          <w:rFonts w:ascii="Garamond" w:hAnsi="Garamond"/>
        </w:rPr>
        <w:t xml:space="preserve">6 § 1 të Konventës për sa ka të bëjë me mënyrën me anë të së cilës Gjykata Kushtetuese ka interpretuar se si afati për paraqitjen e një ankese kushtetuese i privonte kërkuesit për t’iu drejtuar gjykatës. Për këtë arsye, Gjykata Kushtetuese nuk shqyrtonte meritat e ankesave kushtetuese të kërkuesve. </w:t>
      </w:r>
    </w:p>
    <w:p w14:paraId="4098AEC4" w14:textId="06E3467D"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18. Duke iu referuar gjetjeve të saj në lidhje me të drejtën e kërkuesve për t’iu drejtuar Gjykatës Kushtetuese</w:t>
      </w:r>
      <w:r w:rsidR="005D5042">
        <w:rPr>
          <w:rFonts w:ascii="Garamond" w:hAnsi="Garamond"/>
        </w:rPr>
        <w:t>,</w:t>
      </w:r>
      <w:r w:rsidRPr="00FC26A2">
        <w:rPr>
          <w:rFonts w:ascii="Garamond" w:hAnsi="Garamond"/>
        </w:rPr>
        <w:t xml:space="preserve"> sipas </w:t>
      </w:r>
      <w:r w:rsidR="005D5042" w:rsidRPr="00FC26A2">
        <w:rPr>
          <w:rFonts w:ascii="Garamond" w:hAnsi="Garamond"/>
        </w:rPr>
        <w:t xml:space="preserve">nenit </w:t>
      </w:r>
      <w:r w:rsidRPr="00FC26A2">
        <w:rPr>
          <w:rFonts w:ascii="Garamond" w:hAnsi="Garamond"/>
        </w:rPr>
        <w:t xml:space="preserve">6 § 1 të Konventës (shih paragrafin 14 më sipër), Gjykata shprehet se kërkuesit tani kanë një mundësi që të kërkojnë rihapjen e procedurave pranë asaj gjykate. Kjo e fundit do të lejonte shqyrtimin e ankesave të mbetura të kërkuesve në mbështetje të Konventës (shih për shembull, në lidhje me mundësinë e Gjykatës Kushtetuese për t’i adresuar ankesat për gjykim të drejtë, </w:t>
      </w:r>
      <w:r w:rsidRPr="00FC26A2">
        <w:rPr>
          <w:rFonts w:ascii="Garamond" w:hAnsi="Garamond"/>
          <w:i/>
          <w:iCs/>
        </w:rPr>
        <w:t xml:space="preserve">Muçaj kundër Shqipërisë </w:t>
      </w:r>
      <w:r w:rsidRPr="00FC26A2">
        <w:rPr>
          <w:rFonts w:ascii="Garamond" w:hAnsi="Garamond"/>
        </w:rPr>
        <w:t xml:space="preserve">[Komiteti], nr. 37814/10, § 26, 11 </w:t>
      </w:r>
      <w:r w:rsidR="005D5042" w:rsidRPr="00FC26A2">
        <w:rPr>
          <w:rFonts w:ascii="Garamond" w:hAnsi="Garamond"/>
        </w:rPr>
        <w:t xml:space="preserve">korrik </w:t>
      </w:r>
      <w:r w:rsidRPr="00FC26A2">
        <w:rPr>
          <w:rFonts w:ascii="Garamond" w:hAnsi="Garamond"/>
        </w:rPr>
        <w:t xml:space="preserve">2023, me referenca të mëtejshme). Gjykata nuk mund të spekulojë se cili do të ishte rezultati i këtyre proceseve. Në këto rrethana, Gjykata gjykon se ankesat e mbetura të kërkuesve janë të nxituara dhe duhet të rrëzohen në përputhje me </w:t>
      </w:r>
      <w:r w:rsidR="005D5042" w:rsidRPr="00FC26A2">
        <w:rPr>
          <w:rFonts w:ascii="Garamond" w:hAnsi="Garamond"/>
        </w:rPr>
        <w:t xml:space="preserve">nenin </w:t>
      </w:r>
      <w:r w:rsidRPr="00FC26A2">
        <w:rPr>
          <w:rFonts w:ascii="Garamond" w:hAnsi="Garamond"/>
        </w:rPr>
        <w:t xml:space="preserve">35 §§ 3 dhe 4 të Konventës (shih, </w:t>
      </w:r>
      <w:r w:rsidRPr="00FC26A2">
        <w:rPr>
          <w:rFonts w:ascii="Garamond" w:hAnsi="Garamond"/>
          <w:i/>
          <w:iCs/>
        </w:rPr>
        <w:t>mutatis mutandis, Baljak dhe të Tjerë kundër Kroacisë</w:t>
      </w:r>
      <w:r w:rsidRPr="00FC26A2">
        <w:rPr>
          <w:rFonts w:ascii="Garamond" w:hAnsi="Garamond"/>
        </w:rPr>
        <w:t xml:space="preserve">, nr. 41295/19, §§ 45-46, 25 </w:t>
      </w:r>
      <w:r w:rsidR="005D5042" w:rsidRPr="00FC26A2">
        <w:rPr>
          <w:rFonts w:ascii="Garamond" w:hAnsi="Garamond"/>
        </w:rPr>
        <w:t xml:space="preserve">nëntor </w:t>
      </w:r>
      <w:r w:rsidRPr="00FC26A2">
        <w:rPr>
          <w:rFonts w:ascii="Garamond" w:hAnsi="Garamond"/>
        </w:rPr>
        <w:t>2021).</w:t>
      </w:r>
      <w:r w:rsidR="00FC26A2" w:rsidRPr="00FC26A2">
        <w:rPr>
          <w:rFonts w:ascii="Garamond" w:hAnsi="Garamond"/>
        </w:rPr>
        <w:t xml:space="preserve"> </w:t>
      </w:r>
    </w:p>
    <w:p w14:paraId="012EBF4B" w14:textId="77777777"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ZBATIMI I NENIT 41 TË KONVENTËS </w:t>
      </w:r>
    </w:p>
    <w:p w14:paraId="6F8590A8" w14:textId="5813D0AC"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19. Kërkuesit në kërkesat nr. 81057/17, 57542/18 dhe 54121/21 kërkonin kompensim në shuma të ndryshme për dëmin jopasuror. Kompania kërkuese në kërkesën nr. 7386/22 kërkonte 538,000 ALL për kostot dhe shpenzimet për përfaqësimin e saj në Gjykatë. </w:t>
      </w:r>
    </w:p>
    <w:p w14:paraId="720B77B0" w14:textId="662CED24"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lastRenderedPageBreak/>
        <w:t xml:space="preserve">20. Qeveria i kundërshtoi këto shuma. </w:t>
      </w:r>
    </w:p>
    <w:p w14:paraId="3CFB821D" w14:textId="36403E90"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21. Gjykata i akordon secilit prej ankuesve në kërkesat nr. 81057/17 dhe 54121/21, dhe kërkuesve të bashkuar në kërkesën nr. 57542/18, 3,600 euro (EUR) për dëmin jopasuror plus çdo taksë që mund t’</w:t>
      </w:r>
      <w:r w:rsidR="00A323E1">
        <w:rPr>
          <w:rFonts w:ascii="Garamond" w:hAnsi="Garamond"/>
        </w:rPr>
        <w:t>u</w:t>
      </w:r>
      <w:r w:rsidRPr="00FC26A2">
        <w:rPr>
          <w:rFonts w:ascii="Garamond" w:hAnsi="Garamond"/>
        </w:rPr>
        <w:t xml:space="preserve"> tarifohet kërkuesve. </w:t>
      </w:r>
    </w:p>
    <w:p w14:paraId="17BB7106" w14:textId="6F4FF865"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22. Duke mbajtur në konsideratë dokumentet në zotërimin e saj dhe praktikën e saj gjyqësore, Gjykata, e gjykon të arsyeshme që t’i akordojë kompanisë kërkuese në kërkesën nr. 7386/22, EUR 2,000</w:t>
      </w:r>
      <w:r w:rsidR="00FC26A2" w:rsidRPr="00FC26A2">
        <w:rPr>
          <w:rFonts w:ascii="Garamond" w:hAnsi="Garamond"/>
        </w:rPr>
        <w:t xml:space="preserve"> </w:t>
      </w:r>
      <w:r w:rsidRPr="00FC26A2">
        <w:rPr>
          <w:rFonts w:ascii="Garamond" w:hAnsi="Garamond"/>
        </w:rPr>
        <w:t xml:space="preserve">për kostot dhe shpenzimet plus çdo tarifë që mund t’i tarifohet kompanisë kërkuese. </w:t>
      </w:r>
    </w:p>
    <w:p w14:paraId="0CEBA888" w14:textId="77777777" w:rsidR="00900957" w:rsidRPr="00FC26A2" w:rsidRDefault="00900957" w:rsidP="00900957">
      <w:pPr>
        <w:pStyle w:val="ECHRDecisionBody"/>
        <w:spacing w:after="0" w:line="240" w:lineRule="auto"/>
        <w:ind w:firstLine="284"/>
        <w:jc w:val="both"/>
        <w:rPr>
          <w:rFonts w:ascii="Garamond" w:hAnsi="Garamond"/>
        </w:rPr>
      </w:pPr>
    </w:p>
    <w:p w14:paraId="47AD2978" w14:textId="5C95C19B" w:rsidR="00900957" w:rsidRPr="00FC26A2" w:rsidRDefault="00900957" w:rsidP="00900957">
      <w:pPr>
        <w:pStyle w:val="ECHRDecisionBody"/>
        <w:spacing w:after="0" w:line="240" w:lineRule="auto"/>
        <w:ind w:firstLine="284"/>
        <w:jc w:val="center"/>
        <w:rPr>
          <w:rFonts w:ascii="Garamond" w:hAnsi="Garamond"/>
        </w:rPr>
      </w:pPr>
      <w:r w:rsidRPr="00FC26A2">
        <w:rPr>
          <w:rFonts w:ascii="Garamond" w:hAnsi="Garamond"/>
        </w:rPr>
        <w:t>PËR KËTO ARSYE, GJYKATA, NË MËNYRË UNANIME</w:t>
      </w:r>
      <w:r w:rsidR="008A5CB2">
        <w:rPr>
          <w:rFonts w:ascii="Garamond" w:hAnsi="Garamond"/>
        </w:rPr>
        <w:t>:</w:t>
      </w:r>
    </w:p>
    <w:p w14:paraId="591CC60C" w14:textId="77777777" w:rsidR="00900957" w:rsidRPr="00FC26A2" w:rsidRDefault="00900957" w:rsidP="00900957">
      <w:pPr>
        <w:pStyle w:val="ECHRDecisionBody"/>
        <w:spacing w:after="0" w:line="240" w:lineRule="auto"/>
        <w:ind w:firstLine="284"/>
        <w:jc w:val="both"/>
        <w:rPr>
          <w:rFonts w:ascii="Garamond" w:hAnsi="Garamond"/>
        </w:rPr>
      </w:pPr>
    </w:p>
    <w:p w14:paraId="3FE691F3" w14:textId="16B7F1EC"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i/>
          <w:iCs/>
        </w:rPr>
        <w:t xml:space="preserve">1. Vendos </w:t>
      </w:r>
      <w:r w:rsidRPr="00FC26A2">
        <w:rPr>
          <w:rFonts w:ascii="Garamond" w:hAnsi="Garamond"/>
        </w:rPr>
        <w:t xml:space="preserve">t’i bashkojë kërkesat; </w:t>
      </w:r>
    </w:p>
    <w:p w14:paraId="62152732" w14:textId="13754C3F"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i/>
          <w:iCs/>
        </w:rPr>
        <w:t xml:space="preserve">2. I shpall </w:t>
      </w:r>
      <w:r w:rsidRPr="00FC26A2">
        <w:rPr>
          <w:rFonts w:ascii="Garamond" w:hAnsi="Garamond"/>
        </w:rPr>
        <w:t xml:space="preserve">ankesat në lidhje me të drejtën e kërkuesve për t’iu drejtuar Gjykatës Kushtetuese të pranueshme dhe pjesën tjetër të kërkesave të papranueshme; </w:t>
      </w:r>
    </w:p>
    <w:p w14:paraId="323A9444" w14:textId="40EA36B0"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i/>
          <w:iCs/>
        </w:rPr>
        <w:t xml:space="preserve">3. Gjykon </w:t>
      </w:r>
      <w:r w:rsidRPr="00FC26A2">
        <w:rPr>
          <w:rFonts w:ascii="Garamond" w:hAnsi="Garamond"/>
        </w:rPr>
        <w:t xml:space="preserve">se është shkelur </w:t>
      </w:r>
      <w:r w:rsidR="008A5CB2" w:rsidRPr="00FC26A2">
        <w:rPr>
          <w:rFonts w:ascii="Garamond" w:hAnsi="Garamond"/>
        </w:rPr>
        <w:t xml:space="preserve">neni </w:t>
      </w:r>
      <w:r w:rsidRPr="00FC26A2">
        <w:rPr>
          <w:rFonts w:ascii="Garamond" w:hAnsi="Garamond"/>
        </w:rPr>
        <w:t xml:space="preserve">6 § 1 i Konventës; </w:t>
      </w:r>
    </w:p>
    <w:p w14:paraId="77D16C97" w14:textId="7F03CCF6"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i/>
          <w:iCs/>
        </w:rPr>
        <w:t xml:space="preserve">4. </w:t>
      </w:r>
      <w:r w:rsidRPr="00FC26A2">
        <w:rPr>
          <w:rFonts w:ascii="Garamond" w:hAnsi="Garamond"/>
        </w:rPr>
        <w:t>Gjykon</w:t>
      </w:r>
      <w:r w:rsidR="001579E4">
        <w:rPr>
          <w:rFonts w:ascii="Garamond" w:hAnsi="Garamond"/>
        </w:rPr>
        <w:t>:</w:t>
      </w:r>
    </w:p>
    <w:p w14:paraId="383FCEE6" w14:textId="7440D992"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a) se Shteti i paditur duhet të paguajë brenda tre muajve shumat e mëposhtme të konvertuara në monedhën e Shtetit të paditur në normën e zbatueshme në datën e shlyerjes; </w:t>
      </w:r>
    </w:p>
    <w:p w14:paraId="02F112B8" w14:textId="4FDAEBC8"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i</w:t>
      </w:r>
      <w:r w:rsidR="008A5CB2">
        <w:rPr>
          <w:rFonts w:ascii="Garamond" w:hAnsi="Garamond"/>
        </w:rPr>
        <w:t>.</w:t>
      </w:r>
      <w:r w:rsidRPr="00FC26A2">
        <w:rPr>
          <w:rFonts w:ascii="Garamond" w:hAnsi="Garamond"/>
        </w:rPr>
        <w:t xml:space="preserve"> 3,600 euro (tre mijë e gjashtëqind euro) për secilin kërkues në kërkesat nr. 81057/17 dhe 54121/21, dhe së bashku kërkuesve në kërkesën nr. 57542/18, plus çdo taksë që mund të tarifohet, për dëmin j pasuror; </w:t>
      </w:r>
    </w:p>
    <w:p w14:paraId="7567C30E" w14:textId="0A912C4A"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ii</w:t>
      </w:r>
      <w:r w:rsidR="008A5CB2">
        <w:rPr>
          <w:rFonts w:ascii="Garamond" w:hAnsi="Garamond"/>
        </w:rPr>
        <w:t>.</w:t>
      </w:r>
      <w:r w:rsidRPr="00FC26A2">
        <w:rPr>
          <w:rFonts w:ascii="Garamond" w:hAnsi="Garamond"/>
        </w:rPr>
        <w:t xml:space="preserve"> 2,000 euro (dy mijë euro) për kompaninë kërkuese në kërkesën nr. 7386/22, plus çdo taksë që mund t’i tarifohet kompanive kërkuese, për kostot dhe shpenzimet; </w:t>
      </w:r>
    </w:p>
    <w:p w14:paraId="28B2E25B" w14:textId="57755146"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b) se prej përfundimit të tre muajve përmendur më sipër deri në shlyerje, interesi i thjeshtë do të paguhet për shumat e mësipërme në një normë të barasvlershme me normën margjinale huadhënëse të Bankës Qendrore E</w:t>
      </w:r>
      <w:r w:rsidR="001579E4">
        <w:rPr>
          <w:rFonts w:ascii="Garamond" w:hAnsi="Garamond"/>
        </w:rPr>
        <w:t>v</w:t>
      </w:r>
      <w:r w:rsidRPr="00FC26A2">
        <w:rPr>
          <w:rFonts w:ascii="Garamond" w:hAnsi="Garamond"/>
        </w:rPr>
        <w:t>ropiane gjatë periudhës së mosshlyerjes plus tre pikë përqindje</w:t>
      </w:r>
      <w:r w:rsidR="001579E4">
        <w:rPr>
          <w:rFonts w:ascii="Garamond" w:hAnsi="Garamond"/>
        </w:rPr>
        <w:t>je</w:t>
      </w:r>
      <w:r w:rsidRPr="00FC26A2">
        <w:rPr>
          <w:rFonts w:ascii="Garamond" w:hAnsi="Garamond"/>
        </w:rPr>
        <w:t xml:space="preserve">. </w:t>
      </w:r>
    </w:p>
    <w:p w14:paraId="0339619D" w14:textId="18556087"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i/>
          <w:iCs/>
        </w:rPr>
        <w:t xml:space="preserve">5. Rrëzon </w:t>
      </w:r>
      <w:r w:rsidRPr="00FC26A2">
        <w:rPr>
          <w:rFonts w:ascii="Garamond" w:hAnsi="Garamond"/>
        </w:rPr>
        <w:t>pjesën e mbetur të kërkesës së kërkuesve për shpërblim të drejtë.</w:t>
      </w:r>
      <w:r w:rsidR="00FC26A2" w:rsidRPr="00FC26A2">
        <w:rPr>
          <w:rFonts w:ascii="Garamond" w:hAnsi="Garamond"/>
        </w:rPr>
        <w:t xml:space="preserve"> </w:t>
      </w:r>
    </w:p>
    <w:p w14:paraId="1B05B479" w14:textId="0509F4BE" w:rsidR="00900957" w:rsidRPr="00FC26A2" w:rsidRDefault="00900957" w:rsidP="00900957">
      <w:pPr>
        <w:pStyle w:val="ECHRDecisionBody"/>
        <w:spacing w:after="0" w:line="240" w:lineRule="auto"/>
        <w:ind w:firstLine="284"/>
        <w:jc w:val="both"/>
        <w:rPr>
          <w:rFonts w:ascii="Garamond" w:hAnsi="Garamond"/>
        </w:rPr>
      </w:pPr>
      <w:r w:rsidRPr="00FC26A2">
        <w:rPr>
          <w:rFonts w:ascii="Garamond" w:hAnsi="Garamond"/>
        </w:rPr>
        <w:t xml:space="preserve"> Hartuar në anglisht dhe njoftuar me shkrim më 14 </w:t>
      </w:r>
      <w:r w:rsidR="00072A01" w:rsidRPr="00FC26A2">
        <w:rPr>
          <w:rFonts w:ascii="Garamond" w:hAnsi="Garamond"/>
        </w:rPr>
        <w:t xml:space="preserve">janar </w:t>
      </w:r>
      <w:r w:rsidRPr="00FC26A2">
        <w:rPr>
          <w:rFonts w:ascii="Garamond" w:hAnsi="Garamond"/>
        </w:rPr>
        <w:t xml:space="preserve">2025, në mbështetje të </w:t>
      </w:r>
      <w:r w:rsidR="00072A01" w:rsidRPr="00FC26A2">
        <w:rPr>
          <w:rFonts w:ascii="Garamond" w:hAnsi="Garamond"/>
        </w:rPr>
        <w:t xml:space="preserve">rregullit </w:t>
      </w:r>
      <w:r w:rsidRPr="00FC26A2">
        <w:rPr>
          <w:rFonts w:ascii="Garamond" w:hAnsi="Garamond"/>
        </w:rPr>
        <w:t>77 §§ 2 dhe 3 të Rregullores së Gjykatës.</w:t>
      </w:r>
    </w:p>
    <w:p w14:paraId="742B6281" w14:textId="77777777" w:rsidR="00900957" w:rsidRPr="00FC26A2" w:rsidRDefault="00900957" w:rsidP="00900957">
      <w:pPr>
        <w:pStyle w:val="ECHRDecisionBody"/>
        <w:spacing w:after="0" w:line="240" w:lineRule="auto"/>
        <w:ind w:firstLine="284"/>
        <w:jc w:val="both"/>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843"/>
      </w:tblGrid>
      <w:tr w:rsidR="00900957" w:rsidRPr="00FC26A2" w14:paraId="41BA7804" w14:textId="77777777" w:rsidTr="00072A01">
        <w:trPr>
          <w:jc w:val="center"/>
        </w:trPr>
        <w:tc>
          <w:tcPr>
            <w:tcW w:w="2263" w:type="dxa"/>
          </w:tcPr>
          <w:p w14:paraId="39EC4F3B" w14:textId="57E67ABA" w:rsidR="00900957" w:rsidRPr="00FC26A2" w:rsidRDefault="00900957" w:rsidP="00900957">
            <w:pPr>
              <w:pStyle w:val="ECHRDecisionBody"/>
              <w:spacing w:after="0" w:line="240" w:lineRule="auto"/>
              <w:jc w:val="center"/>
              <w:rPr>
                <w:rFonts w:ascii="Garamond" w:hAnsi="Garamond"/>
                <w:b/>
              </w:rPr>
            </w:pPr>
            <w:r w:rsidRPr="00FC26A2">
              <w:rPr>
                <w:rFonts w:ascii="Garamond" w:hAnsi="Garamond"/>
                <w:b/>
              </w:rPr>
              <w:t>Olga Chernishova</w:t>
            </w:r>
          </w:p>
          <w:p w14:paraId="4C604CB9" w14:textId="6DC884BB" w:rsidR="00900957" w:rsidRPr="00FC26A2" w:rsidRDefault="00072A01" w:rsidP="00900957">
            <w:pPr>
              <w:pStyle w:val="ECHRDecisionBody"/>
              <w:spacing w:after="0" w:line="240" w:lineRule="auto"/>
              <w:jc w:val="center"/>
              <w:rPr>
                <w:rFonts w:ascii="Garamond" w:hAnsi="Garamond"/>
              </w:rPr>
            </w:pPr>
            <w:r w:rsidRPr="00FC26A2">
              <w:rPr>
                <w:rFonts w:ascii="Garamond" w:hAnsi="Garamond"/>
              </w:rPr>
              <w:t>ZËVENDËSSEKRETARE</w:t>
            </w:r>
          </w:p>
        </w:tc>
        <w:tc>
          <w:tcPr>
            <w:tcW w:w="1843" w:type="dxa"/>
          </w:tcPr>
          <w:p w14:paraId="33F461AA" w14:textId="4CD78DF8" w:rsidR="00900957" w:rsidRPr="008838DB" w:rsidRDefault="00770260" w:rsidP="00900957">
            <w:pPr>
              <w:pStyle w:val="ECHRDecisionBody"/>
              <w:spacing w:after="0" w:line="240" w:lineRule="auto"/>
              <w:jc w:val="center"/>
              <w:rPr>
                <w:rFonts w:ascii="Garamond" w:hAnsi="Garamond"/>
                <w:b/>
                <w:bCs/>
              </w:rPr>
            </w:pPr>
            <w:r w:rsidRPr="008838DB">
              <w:rPr>
                <w:rFonts w:ascii="Garamond" w:hAnsi="Garamond" w:cs="Arial"/>
                <w:b/>
                <w:bCs/>
                <w:color w:val="auto"/>
                <w:shd w:val="clear" w:color="auto" w:fill="FFFFFF"/>
              </w:rPr>
              <w:t>L</w:t>
            </w:r>
            <w:r w:rsidRPr="008838DB">
              <w:rPr>
                <w:b/>
                <w:bCs/>
                <w:color w:val="auto"/>
                <w:shd w:val="clear" w:color="auto" w:fill="FFFFFF"/>
              </w:rPr>
              <w:t>ə</w:t>
            </w:r>
            <w:r w:rsidRPr="008838DB">
              <w:rPr>
                <w:rFonts w:ascii="Garamond" w:hAnsi="Garamond" w:cs="Arial"/>
                <w:b/>
                <w:bCs/>
                <w:color w:val="auto"/>
                <w:shd w:val="clear" w:color="auto" w:fill="FFFFFF"/>
              </w:rPr>
              <w:t>tif </w:t>
            </w:r>
            <w:r w:rsidRPr="008838DB">
              <w:rPr>
                <w:rStyle w:val="Emphasis"/>
                <w:rFonts w:ascii="Garamond" w:hAnsi="Garamond" w:cs="Arial"/>
                <w:b/>
                <w:bCs/>
                <w:i w:val="0"/>
                <w:iCs w:val="0"/>
                <w:color w:val="auto"/>
                <w:shd w:val="clear" w:color="auto" w:fill="FFFFFF"/>
              </w:rPr>
              <w:t>Hüseynov</w:t>
            </w:r>
          </w:p>
          <w:p w14:paraId="256C2B00" w14:textId="48257E03" w:rsidR="00900957" w:rsidRPr="008838DB" w:rsidRDefault="00072A01" w:rsidP="00900957">
            <w:pPr>
              <w:pStyle w:val="ECHRDecisionBody"/>
              <w:spacing w:after="0" w:line="240" w:lineRule="auto"/>
              <w:jc w:val="center"/>
              <w:rPr>
                <w:rFonts w:ascii="Garamond" w:hAnsi="Garamond"/>
                <w:b/>
                <w:bCs/>
              </w:rPr>
            </w:pPr>
            <w:r w:rsidRPr="008838DB">
              <w:rPr>
                <w:rFonts w:ascii="Garamond" w:hAnsi="Garamond"/>
              </w:rPr>
              <w:t>KRYETAR</w:t>
            </w:r>
          </w:p>
        </w:tc>
      </w:tr>
    </w:tbl>
    <w:p w14:paraId="0887425C" w14:textId="0E70DE3B" w:rsidR="000F74B6" w:rsidRPr="00FC26A2" w:rsidRDefault="000F74B6" w:rsidP="00900957">
      <w:pPr>
        <w:spacing w:after="0" w:line="240" w:lineRule="auto"/>
        <w:ind w:firstLine="284"/>
        <w:rPr>
          <w:rFonts w:ascii="Garamond" w:hAnsi="Garamond"/>
          <w:sz w:val="24"/>
          <w:szCs w:val="24"/>
          <w:lang w:val="sq-AL"/>
        </w:rPr>
      </w:pPr>
    </w:p>
    <w:p w14:paraId="6EF58172" w14:textId="77777777" w:rsidR="007E4A71" w:rsidRDefault="00671B54" w:rsidP="007E4A71">
      <w:pPr>
        <w:pStyle w:val="ECHRDecisionBody"/>
        <w:spacing w:after="0" w:line="240" w:lineRule="auto"/>
        <w:jc w:val="center"/>
        <w:rPr>
          <w:rFonts w:ascii="Garamond" w:hAnsi="Garamond"/>
        </w:rPr>
      </w:pPr>
      <w:r w:rsidRPr="00200918">
        <w:rPr>
          <w:rFonts w:ascii="Garamond" w:hAnsi="Garamond"/>
        </w:rPr>
        <w:t>SHTOJCË</w:t>
      </w:r>
    </w:p>
    <w:p w14:paraId="49933365" w14:textId="6A52F5AD" w:rsidR="00671B54" w:rsidRDefault="007E4A71" w:rsidP="007E4A71">
      <w:pPr>
        <w:pStyle w:val="ECHRDecisionBody"/>
        <w:spacing w:after="0" w:line="240" w:lineRule="auto"/>
        <w:jc w:val="center"/>
        <w:rPr>
          <w:rFonts w:ascii="Garamond" w:hAnsi="Garamond"/>
        </w:rPr>
      </w:pPr>
      <w:r w:rsidRPr="00FC26A2">
        <w:rPr>
          <w:rFonts w:ascii="Garamond" w:hAnsi="Garamond"/>
        </w:rPr>
        <w:t>LISTA E ÇËSHTJEVE</w:t>
      </w:r>
    </w:p>
    <w:p w14:paraId="0BA7E968" w14:textId="77777777" w:rsidR="007E4A71" w:rsidRPr="00FC26A2" w:rsidRDefault="007E4A71" w:rsidP="007E4A71">
      <w:pPr>
        <w:pStyle w:val="ECHRDecisionBody"/>
        <w:spacing w:after="0" w:line="240" w:lineRule="auto"/>
        <w:jc w:val="center"/>
        <w:rPr>
          <w:rFonts w:ascii="Garamond" w:hAnsi="Garamond"/>
        </w:rPr>
      </w:pPr>
    </w:p>
    <w:tbl>
      <w:tblPr>
        <w:tblStyle w:val="TableGrid"/>
        <w:tblW w:w="5000" w:type="pct"/>
        <w:jc w:val="center"/>
        <w:tblLook w:val="04A0" w:firstRow="1" w:lastRow="0" w:firstColumn="1" w:lastColumn="0" w:noHBand="0" w:noVBand="1"/>
      </w:tblPr>
      <w:tblGrid>
        <w:gridCol w:w="742"/>
        <w:gridCol w:w="2091"/>
        <w:gridCol w:w="1563"/>
        <w:gridCol w:w="1584"/>
        <w:gridCol w:w="1696"/>
        <w:gridCol w:w="1674"/>
      </w:tblGrid>
      <w:tr w:rsidR="000F550F" w:rsidRPr="00FC26A2" w14:paraId="6DBE7A7E" w14:textId="77777777" w:rsidTr="00200918">
        <w:trPr>
          <w:jc w:val="center"/>
        </w:trPr>
        <w:tc>
          <w:tcPr>
            <w:tcW w:w="397" w:type="pct"/>
            <w:vAlign w:val="center"/>
          </w:tcPr>
          <w:p w14:paraId="045F8BFE" w14:textId="1E717DCE"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Nr.</w:t>
            </w:r>
          </w:p>
        </w:tc>
        <w:tc>
          <w:tcPr>
            <w:tcW w:w="1118" w:type="pct"/>
            <w:vAlign w:val="center"/>
          </w:tcPr>
          <w:p w14:paraId="608A3E8D" w14:textId="02F40415"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Kërkesa nr.</w:t>
            </w:r>
          </w:p>
        </w:tc>
        <w:tc>
          <w:tcPr>
            <w:tcW w:w="836" w:type="pct"/>
            <w:vAlign w:val="center"/>
          </w:tcPr>
          <w:p w14:paraId="328E98AA" w14:textId="664D4E9A"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Emri i çështjes</w:t>
            </w:r>
          </w:p>
        </w:tc>
        <w:tc>
          <w:tcPr>
            <w:tcW w:w="847" w:type="pct"/>
            <w:vAlign w:val="center"/>
          </w:tcPr>
          <w:p w14:paraId="23838BC0" w14:textId="77777777"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Dorëzuar më</w:t>
            </w:r>
          </w:p>
        </w:tc>
        <w:tc>
          <w:tcPr>
            <w:tcW w:w="907" w:type="pct"/>
            <w:vAlign w:val="center"/>
          </w:tcPr>
          <w:p w14:paraId="0894FE00" w14:textId="77777777"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Kërkuesi</w:t>
            </w:r>
          </w:p>
          <w:p w14:paraId="56E0F0C8" w14:textId="77777777"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Viti i lindjes</w:t>
            </w:r>
          </w:p>
          <w:p w14:paraId="0E821DFF" w14:textId="3ECD53E6"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Vendbanimi</w:t>
            </w:r>
          </w:p>
          <w:p w14:paraId="30C58459" w14:textId="661862E3"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Kombësia</w:t>
            </w:r>
          </w:p>
        </w:tc>
        <w:tc>
          <w:tcPr>
            <w:tcW w:w="895" w:type="pct"/>
            <w:vAlign w:val="center"/>
          </w:tcPr>
          <w:p w14:paraId="24731377" w14:textId="77777777" w:rsidR="000F550F" w:rsidRPr="00FC26A2" w:rsidRDefault="000F550F" w:rsidP="00200918">
            <w:pPr>
              <w:pStyle w:val="ECHRDecisionBody"/>
              <w:spacing w:after="0" w:line="240" w:lineRule="auto"/>
              <w:jc w:val="center"/>
              <w:rPr>
                <w:rFonts w:ascii="Garamond" w:hAnsi="Garamond"/>
                <w:b/>
                <w:bCs/>
                <w:sz w:val="18"/>
                <w:szCs w:val="18"/>
              </w:rPr>
            </w:pPr>
            <w:r w:rsidRPr="00FC26A2">
              <w:rPr>
                <w:rFonts w:ascii="Garamond" w:hAnsi="Garamond"/>
                <w:b/>
                <w:bCs/>
                <w:sz w:val="18"/>
                <w:szCs w:val="18"/>
              </w:rPr>
              <w:t>Përfaqësuar nga</w:t>
            </w:r>
          </w:p>
        </w:tc>
      </w:tr>
      <w:tr w:rsidR="000F550F" w:rsidRPr="00FC26A2" w14:paraId="04751A6B" w14:textId="77777777" w:rsidTr="00200918">
        <w:trPr>
          <w:jc w:val="center"/>
        </w:trPr>
        <w:tc>
          <w:tcPr>
            <w:tcW w:w="397" w:type="pct"/>
          </w:tcPr>
          <w:p w14:paraId="3F6E31CE"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w:t>
            </w:r>
          </w:p>
        </w:tc>
        <w:tc>
          <w:tcPr>
            <w:tcW w:w="1118" w:type="pct"/>
          </w:tcPr>
          <w:p w14:paraId="01797366"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81057/17</w:t>
            </w:r>
          </w:p>
        </w:tc>
        <w:tc>
          <w:tcPr>
            <w:tcW w:w="836" w:type="pct"/>
          </w:tcPr>
          <w:p w14:paraId="2B4CAF14"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Ibrahimi kundër Shqipërisë</w:t>
            </w:r>
          </w:p>
        </w:tc>
        <w:tc>
          <w:tcPr>
            <w:tcW w:w="847" w:type="pct"/>
          </w:tcPr>
          <w:p w14:paraId="37E54D63" w14:textId="1B8DC941"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24</w:t>
            </w:r>
            <w:r w:rsidR="00200918">
              <w:rPr>
                <w:rFonts w:ascii="Garamond" w:hAnsi="Garamond"/>
                <w:sz w:val="18"/>
                <w:szCs w:val="18"/>
              </w:rPr>
              <w:t>.</w:t>
            </w:r>
            <w:r w:rsidRPr="00FC26A2">
              <w:rPr>
                <w:rFonts w:ascii="Garamond" w:hAnsi="Garamond"/>
                <w:sz w:val="18"/>
                <w:szCs w:val="18"/>
              </w:rPr>
              <w:t>11</w:t>
            </w:r>
            <w:r w:rsidR="00200918">
              <w:rPr>
                <w:rFonts w:ascii="Garamond" w:hAnsi="Garamond"/>
                <w:sz w:val="18"/>
                <w:szCs w:val="18"/>
              </w:rPr>
              <w:t>.</w:t>
            </w:r>
            <w:r w:rsidRPr="00FC26A2">
              <w:rPr>
                <w:rFonts w:ascii="Garamond" w:hAnsi="Garamond"/>
                <w:sz w:val="18"/>
                <w:szCs w:val="18"/>
              </w:rPr>
              <w:t>2017</w:t>
            </w:r>
          </w:p>
        </w:tc>
        <w:tc>
          <w:tcPr>
            <w:tcW w:w="907" w:type="pct"/>
          </w:tcPr>
          <w:p w14:paraId="72D69A01" w14:textId="77777777" w:rsidR="000F550F" w:rsidRPr="00FC26A2" w:rsidRDefault="000F550F" w:rsidP="000F550F">
            <w:pPr>
              <w:pStyle w:val="ECHRDecisionBody"/>
              <w:spacing w:after="0" w:line="240" w:lineRule="auto"/>
              <w:rPr>
                <w:rFonts w:ascii="Garamond" w:hAnsi="Garamond"/>
                <w:b/>
                <w:bCs/>
                <w:sz w:val="18"/>
                <w:szCs w:val="18"/>
              </w:rPr>
            </w:pPr>
            <w:r w:rsidRPr="00FC26A2">
              <w:rPr>
                <w:rFonts w:ascii="Garamond" w:hAnsi="Garamond"/>
                <w:b/>
                <w:bCs/>
                <w:sz w:val="18"/>
                <w:szCs w:val="18"/>
              </w:rPr>
              <w:t>Besnik IBRAHIMI</w:t>
            </w:r>
          </w:p>
          <w:p w14:paraId="2DDF0203"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1971</w:t>
            </w:r>
          </w:p>
          <w:p w14:paraId="5F5D0B6C"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Peqin </w:t>
            </w:r>
          </w:p>
          <w:p w14:paraId="0F8C2260"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Shqiptar</w:t>
            </w:r>
          </w:p>
        </w:tc>
        <w:tc>
          <w:tcPr>
            <w:tcW w:w="895" w:type="pct"/>
          </w:tcPr>
          <w:p w14:paraId="0E0F852F"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Besnik </w:t>
            </w:r>
            <w:bookmarkStart w:id="0" w:name="_Hlk189192305"/>
            <w:r w:rsidRPr="00FC26A2">
              <w:rPr>
                <w:rFonts w:ascii="Garamond" w:hAnsi="Garamond"/>
                <w:sz w:val="18"/>
                <w:szCs w:val="18"/>
              </w:rPr>
              <w:t>Ç</w:t>
            </w:r>
            <w:bookmarkEnd w:id="0"/>
            <w:r w:rsidRPr="00FC26A2">
              <w:rPr>
                <w:rFonts w:ascii="Garamond" w:hAnsi="Garamond"/>
                <w:sz w:val="18"/>
                <w:szCs w:val="18"/>
              </w:rPr>
              <w:t>EREKJA</w:t>
            </w:r>
          </w:p>
        </w:tc>
      </w:tr>
      <w:tr w:rsidR="000F550F" w:rsidRPr="00FC26A2" w14:paraId="5B13331D" w14:textId="77777777" w:rsidTr="00200918">
        <w:trPr>
          <w:jc w:val="center"/>
        </w:trPr>
        <w:tc>
          <w:tcPr>
            <w:tcW w:w="397" w:type="pct"/>
          </w:tcPr>
          <w:p w14:paraId="1B833325"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2.</w:t>
            </w:r>
          </w:p>
        </w:tc>
        <w:tc>
          <w:tcPr>
            <w:tcW w:w="1118" w:type="pct"/>
          </w:tcPr>
          <w:p w14:paraId="134DD5BB"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57542/18</w:t>
            </w:r>
          </w:p>
        </w:tc>
        <w:tc>
          <w:tcPr>
            <w:tcW w:w="836" w:type="pct"/>
          </w:tcPr>
          <w:p w14:paraId="2C0D1EC2"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Selimi kundër Shqipërisë</w:t>
            </w:r>
          </w:p>
        </w:tc>
        <w:tc>
          <w:tcPr>
            <w:tcW w:w="847" w:type="pct"/>
          </w:tcPr>
          <w:p w14:paraId="0E61B852" w14:textId="0EFB13F8"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30</w:t>
            </w:r>
            <w:r w:rsidR="00200918">
              <w:rPr>
                <w:rFonts w:ascii="Garamond" w:hAnsi="Garamond"/>
                <w:sz w:val="18"/>
                <w:szCs w:val="18"/>
              </w:rPr>
              <w:t>.</w:t>
            </w:r>
            <w:r w:rsidRPr="00FC26A2">
              <w:rPr>
                <w:rFonts w:ascii="Garamond" w:hAnsi="Garamond"/>
                <w:sz w:val="18"/>
                <w:szCs w:val="18"/>
              </w:rPr>
              <w:t>11</w:t>
            </w:r>
            <w:r w:rsidR="00200918">
              <w:rPr>
                <w:rFonts w:ascii="Garamond" w:hAnsi="Garamond"/>
                <w:sz w:val="18"/>
                <w:szCs w:val="18"/>
              </w:rPr>
              <w:t>.</w:t>
            </w:r>
            <w:r w:rsidRPr="00FC26A2">
              <w:rPr>
                <w:rFonts w:ascii="Garamond" w:hAnsi="Garamond"/>
                <w:sz w:val="18"/>
                <w:szCs w:val="18"/>
              </w:rPr>
              <w:t>2018</w:t>
            </w:r>
          </w:p>
        </w:tc>
        <w:tc>
          <w:tcPr>
            <w:tcW w:w="907" w:type="pct"/>
          </w:tcPr>
          <w:p w14:paraId="55E8CBF9" w14:textId="77777777" w:rsidR="000F550F" w:rsidRPr="00FC26A2" w:rsidRDefault="000F550F" w:rsidP="000F550F">
            <w:pPr>
              <w:pStyle w:val="ECHRDecisionBody"/>
              <w:spacing w:after="0" w:line="240" w:lineRule="auto"/>
              <w:rPr>
                <w:rFonts w:ascii="Garamond" w:hAnsi="Garamond"/>
                <w:b/>
                <w:bCs/>
                <w:sz w:val="18"/>
                <w:szCs w:val="18"/>
              </w:rPr>
            </w:pPr>
            <w:r w:rsidRPr="00FC26A2">
              <w:rPr>
                <w:rFonts w:ascii="Garamond" w:hAnsi="Garamond"/>
                <w:b/>
                <w:bCs/>
                <w:sz w:val="18"/>
                <w:szCs w:val="18"/>
              </w:rPr>
              <w:t xml:space="preserve">Denis SELIMI </w:t>
            </w:r>
          </w:p>
          <w:p w14:paraId="5EE5F369"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1977</w:t>
            </w:r>
          </w:p>
          <w:p w14:paraId="36B7E8D3"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Tiranë </w:t>
            </w:r>
          </w:p>
          <w:p w14:paraId="486BACC9"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Shqiptar </w:t>
            </w:r>
          </w:p>
          <w:p w14:paraId="65D07575" w14:textId="77777777" w:rsidR="000F550F" w:rsidRPr="00FC26A2" w:rsidRDefault="000F550F" w:rsidP="000F550F">
            <w:pPr>
              <w:pStyle w:val="ECHRDecisionBody"/>
              <w:spacing w:after="0" w:line="240" w:lineRule="auto"/>
              <w:rPr>
                <w:rFonts w:ascii="Garamond" w:hAnsi="Garamond"/>
                <w:sz w:val="18"/>
                <w:szCs w:val="18"/>
              </w:rPr>
            </w:pPr>
          </w:p>
          <w:p w14:paraId="0936EC90" w14:textId="77777777" w:rsidR="000F550F" w:rsidRPr="00FC26A2" w:rsidRDefault="000F550F" w:rsidP="000F550F">
            <w:pPr>
              <w:pStyle w:val="ECHRDecisionBody"/>
              <w:spacing w:after="0" w:line="240" w:lineRule="auto"/>
              <w:rPr>
                <w:rFonts w:ascii="Garamond" w:hAnsi="Garamond"/>
                <w:b/>
                <w:bCs/>
                <w:sz w:val="18"/>
                <w:szCs w:val="18"/>
              </w:rPr>
            </w:pPr>
            <w:r w:rsidRPr="00FC26A2">
              <w:rPr>
                <w:rFonts w:ascii="Garamond" w:hAnsi="Garamond"/>
                <w:b/>
                <w:bCs/>
                <w:sz w:val="18"/>
                <w:szCs w:val="18"/>
              </w:rPr>
              <w:t xml:space="preserve">Edit SELIMI </w:t>
            </w:r>
          </w:p>
          <w:p w14:paraId="1B1E08BC"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1968</w:t>
            </w:r>
          </w:p>
          <w:p w14:paraId="6A41E584"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Tiranë </w:t>
            </w:r>
          </w:p>
          <w:p w14:paraId="7D0EF541"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Shqiptar </w:t>
            </w:r>
          </w:p>
        </w:tc>
        <w:tc>
          <w:tcPr>
            <w:tcW w:w="895" w:type="pct"/>
          </w:tcPr>
          <w:p w14:paraId="41E3CBEE" w14:textId="77777777" w:rsidR="000F550F" w:rsidRPr="00FC26A2" w:rsidRDefault="000F550F" w:rsidP="000F550F">
            <w:pPr>
              <w:pStyle w:val="ECHRDecisionBody"/>
              <w:spacing w:after="0" w:line="240" w:lineRule="auto"/>
              <w:rPr>
                <w:rFonts w:ascii="Garamond" w:hAnsi="Garamond"/>
                <w:sz w:val="18"/>
                <w:szCs w:val="18"/>
              </w:rPr>
            </w:pPr>
          </w:p>
        </w:tc>
      </w:tr>
      <w:tr w:rsidR="000F550F" w:rsidRPr="00FC26A2" w14:paraId="3CD7FD5E" w14:textId="77777777" w:rsidTr="00200918">
        <w:trPr>
          <w:jc w:val="center"/>
        </w:trPr>
        <w:tc>
          <w:tcPr>
            <w:tcW w:w="397" w:type="pct"/>
          </w:tcPr>
          <w:p w14:paraId="0A9CCE95"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lastRenderedPageBreak/>
              <w:t>3.</w:t>
            </w:r>
          </w:p>
        </w:tc>
        <w:tc>
          <w:tcPr>
            <w:tcW w:w="1118" w:type="pct"/>
          </w:tcPr>
          <w:p w14:paraId="3CADE4F3"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32939/21</w:t>
            </w:r>
          </w:p>
        </w:tc>
        <w:tc>
          <w:tcPr>
            <w:tcW w:w="836" w:type="pct"/>
          </w:tcPr>
          <w:p w14:paraId="7635084E"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Nika kundër Shqipërisë </w:t>
            </w:r>
          </w:p>
        </w:tc>
        <w:tc>
          <w:tcPr>
            <w:tcW w:w="847" w:type="pct"/>
          </w:tcPr>
          <w:p w14:paraId="6B8C83DB" w14:textId="63965280"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21</w:t>
            </w:r>
            <w:r w:rsidR="00200918">
              <w:rPr>
                <w:rFonts w:ascii="Garamond" w:hAnsi="Garamond"/>
                <w:sz w:val="18"/>
                <w:szCs w:val="18"/>
              </w:rPr>
              <w:t>.</w:t>
            </w:r>
            <w:r w:rsidRPr="00FC26A2">
              <w:rPr>
                <w:rFonts w:ascii="Garamond" w:hAnsi="Garamond"/>
                <w:sz w:val="18"/>
                <w:szCs w:val="18"/>
              </w:rPr>
              <w:t>6</w:t>
            </w:r>
            <w:r w:rsidR="00200918">
              <w:rPr>
                <w:rFonts w:ascii="Garamond" w:hAnsi="Garamond"/>
                <w:sz w:val="18"/>
                <w:szCs w:val="18"/>
              </w:rPr>
              <w:t>.</w:t>
            </w:r>
            <w:r w:rsidRPr="00FC26A2">
              <w:rPr>
                <w:rFonts w:ascii="Garamond" w:hAnsi="Garamond"/>
                <w:sz w:val="18"/>
                <w:szCs w:val="18"/>
              </w:rPr>
              <w:t>2021</w:t>
            </w:r>
          </w:p>
        </w:tc>
        <w:tc>
          <w:tcPr>
            <w:tcW w:w="907" w:type="pct"/>
          </w:tcPr>
          <w:p w14:paraId="08AB5B94" w14:textId="77777777" w:rsidR="000F550F" w:rsidRPr="00FC26A2" w:rsidRDefault="000F550F" w:rsidP="000F550F">
            <w:pPr>
              <w:pStyle w:val="ECHRDecisionBody"/>
              <w:spacing w:after="0" w:line="240" w:lineRule="auto"/>
              <w:rPr>
                <w:rFonts w:ascii="Garamond" w:hAnsi="Garamond"/>
                <w:b/>
                <w:bCs/>
                <w:sz w:val="18"/>
                <w:szCs w:val="18"/>
              </w:rPr>
            </w:pPr>
            <w:r w:rsidRPr="00FC26A2">
              <w:rPr>
                <w:rFonts w:ascii="Garamond" w:hAnsi="Garamond"/>
                <w:b/>
                <w:bCs/>
                <w:sz w:val="18"/>
                <w:szCs w:val="18"/>
              </w:rPr>
              <w:t>Dede NIKA</w:t>
            </w:r>
          </w:p>
          <w:p w14:paraId="30E4E959"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1969</w:t>
            </w:r>
          </w:p>
          <w:p w14:paraId="58D8D818"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Shkodër </w:t>
            </w:r>
          </w:p>
          <w:p w14:paraId="11E6E59E"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shqiptar</w:t>
            </w:r>
          </w:p>
        </w:tc>
        <w:tc>
          <w:tcPr>
            <w:tcW w:w="895" w:type="pct"/>
          </w:tcPr>
          <w:p w14:paraId="62038A28"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Atmir MANI </w:t>
            </w:r>
          </w:p>
        </w:tc>
      </w:tr>
      <w:tr w:rsidR="000F550F" w:rsidRPr="00FC26A2" w14:paraId="054F110D" w14:textId="77777777" w:rsidTr="00200918">
        <w:trPr>
          <w:jc w:val="center"/>
        </w:trPr>
        <w:tc>
          <w:tcPr>
            <w:tcW w:w="397" w:type="pct"/>
          </w:tcPr>
          <w:p w14:paraId="451FDB03"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4.</w:t>
            </w:r>
          </w:p>
        </w:tc>
        <w:tc>
          <w:tcPr>
            <w:tcW w:w="1118" w:type="pct"/>
          </w:tcPr>
          <w:p w14:paraId="7221D016"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54121/21</w:t>
            </w:r>
          </w:p>
        </w:tc>
        <w:tc>
          <w:tcPr>
            <w:tcW w:w="836" w:type="pct"/>
          </w:tcPr>
          <w:p w14:paraId="1638DF92"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Dedaj kundër Shqipërisë</w:t>
            </w:r>
          </w:p>
        </w:tc>
        <w:tc>
          <w:tcPr>
            <w:tcW w:w="847" w:type="pct"/>
          </w:tcPr>
          <w:p w14:paraId="1EE59605" w14:textId="6E3856B0"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21</w:t>
            </w:r>
            <w:r w:rsidR="00200918">
              <w:rPr>
                <w:rFonts w:ascii="Garamond" w:hAnsi="Garamond"/>
                <w:sz w:val="18"/>
                <w:szCs w:val="18"/>
              </w:rPr>
              <w:t>.</w:t>
            </w:r>
            <w:r w:rsidRPr="00FC26A2">
              <w:rPr>
                <w:rFonts w:ascii="Garamond" w:hAnsi="Garamond"/>
                <w:sz w:val="18"/>
                <w:szCs w:val="18"/>
              </w:rPr>
              <w:t>10</w:t>
            </w:r>
            <w:r w:rsidR="00200918">
              <w:rPr>
                <w:rFonts w:ascii="Garamond" w:hAnsi="Garamond"/>
                <w:sz w:val="18"/>
                <w:szCs w:val="18"/>
              </w:rPr>
              <w:t>.</w:t>
            </w:r>
            <w:r w:rsidRPr="00FC26A2">
              <w:rPr>
                <w:rFonts w:ascii="Garamond" w:hAnsi="Garamond"/>
                <w:sz w:val="18"/>
                <w:szCs w:val="18"/>
              </w:rPr>
              <w:t>2021</w:t>
            </w:r>
          </w:p>
        </w:tc>
        <w:tc>
          <w:tcPr>
            <w:tcW w:w="907" w:type="pct"/>
          </w:tcPr>
          <w:p w14:paraId="68B8F736" w14:textId="77777777" w:rsidR="000F550F" w:rsidRPr="00FC26A2" w:rsidRDefault="000F550F" w:rsidP="000F550F">
            <w:pPr>
              <w:pStyle w:val="ECHRDecisionBody"/>
              <w:spacing w:after="0" w:line="240" w:lineRule="auto"/>
              <w:rPr>
                <w:rFonts w:ascii="Garamond" w:hAnsi="Garamond"/>
                <w:b/>
                <w:bCs/>
                <w:sz w:val="18"/>
                <w:szCs w:val="18"/>
              </w:rPr>
            </w:pPr>
            <w:r w:rsidRPr="00FC26A2">
              <w:rPr>
                <w:rFonts w:ascii="Garamond" w:hAnsi="Garamond"/>
                <w:b/>
                <w:bCs/>
                <w:sz w:val="18"/>
                <w:szCs w:val="18"/>
              </w:rPr>
              <w:t>Tom DEDAJ</w:t>
            </w:r>
          </w:p>
          <w:p w14:paraId="1AF0B1B4"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1963</w:t>
            </w:r>
          </w:p>
          <w:p w14:paraId="1EDE0D20"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Tiranë </w:t>
            </w:r>
          </w:p>
          <w:p w14:paraId="47AA4A15"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 xml:space="preserve">Shqipëri </w:t>
            </w:r>
          </w:p>
        </w:tc>
        <w:tc>
          <w:tcPr>
            <w:tcW w:w="895" w:type="pct"/>
          </w:tcPr>
          <w:p w14:paraId="6AE8F014"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Roland ISLAMI</w:t>
            </w:r>
          </w:p>
        </w:tc>
      </w:tr>
      <w:tr w:rsidR="000F550F" w:rsidRPr="00FC26A2" w14:paraId="1D4D9BA0" w14:textId="77777777" w:rsidTr="00200918">
        <w:trPr>
          <w:jc w:val="center"/>
        </w:trPr>
        <w:tc>
          <w:tcPr>
            <w:tcW w:w="397" w:type="pct"/>
          </w:tcPr>
          <w:p w14:paraId="454DD4D9"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5.</w:t>
            </w:r>
          </w:p>
        </w:tc>
        <w:tc>
          <w:tcPr>
            <w:tcW w:w="1118" w:type="pct"/>
          </w:tcPr>
          <w:p w14:paraId="55EB5A5A"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7386/22</w:t>
            </w:r>
          </w:p>
        </w:tc>
        <w:tc>
          <w:tcPr>
            <w:tcW w:w="836" w:type="pct"/>
          </w:tcPr>
          <w:p w14:paraId="40F62083" w14:textId="574295B1"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Industri Ndërtim (IN)</w:t>
            </w:r>
            <w:r w:rsidR="00200918" w:rsidRPr="00FC26A2">
              <w:rPr>
                <w:rFonts w:ascii="Garamond" w:hAnsi="Garamond"/>
                <w:sz w:val="18"/>
                <w:szCs w:val="18"/>
              </w:rPr>
              <w:t xml:space="preserve"> sh</w:t>
            </w:r>
            <w:r w:rsidR="00200918">
              <w:rPr>
                <w:rFonts w:ascii="Garamond" w:hAnsi="Garamond"/>
                <w:sz w:val="18"/>
                <w:szCs w:val="18"/>
              </w:rPr>
              <w:t>.</w:t>
            </w:r>
            <w:r w:rsidR="00200918" w:rsidRPr="00FC26A2">
              <w:rPr>
                <w:rFonts w:ascii="Garamond" w:hAnsi="Garamond"/>
                <w:sz w:val="18"/>
                <w:szCs w:val="18"/>
              </w:rPr>
              <w:t>p</w:t>
            </w:r>
            <w:r w:rsidR="00200918">
              <w:rPr>
                <w:rFonts w:ascii="Garamond" w:hAnsi="Garamond"/>
                <w:sz w:val="18"/>
                <w:szCs w:val="18"/>
              </w:rPr>
              <w:t>.</w:t>
            </w:r>
            <w:r w:rsidR="00200918" w:rsidRPr="00FC26A2">
              <w:rPr>
                <w:rFonts w:ascii="Garamond" w:hAnsi="Garamond"/>
                <w:sz w:val="18"/>
                <w:szCs w:val="18"/>
              </w:rPr>
              <w:t>k</w:t>
            </w:r>
            <w:r w:rsidR="00200918">
              <w:rPr>
                <w:rFonts w:ascii="Garamond" w:hAnsi="Garamond"/>
                <w:sz w:val="18"/>
                <w:szCs w:val="18"/>
              </w:rPr>
              <w:t>.</w:t>
            </w:r>
            <w:r w:rsidR="00200918" w:rsidRPr="00FC26A2">
              <w:rPr>
                <w:rFonts w:ascii="Garamond" w:hAnsi="Garamond"/>
                <w:sz w:val="18"/>
                <w:szCs w:val="18"/>
              </w:rPr>
              <w:t xml:space="preserve"> </w:t>
            </w:r>
            <w:r w:rsidRPr="00FC26A2">
              <w:rPr>
                <w:rFonts w:ascii="Garamond" w:hAnsi="Garamond"/>
                <w:sz w:val="18"/>
                <w:szCs w:val="18"/>
              </w:rPr>
              <w:t>kundër Shqipërisë</w:t>
            </w:r>
          </w:p>
        </w:tc>
        <w:tc>
          <w:tcPr>
            <w:tcW w:w="847" w:type="pct"/>
          </w:tcPr>
          <w:p w14:paraId="3D4A180F" w14:textId="508B5F33"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2</w:t>
            </w:r>
            <w:r w:rsidR="00200918">
              <w:rPr>
                <w:rFonts w:ascii="Garamond" w:hAnsi="Garamond"/>
                <w:sz w:val="18"/>
                <w:szCs w:val="18"/>
              </w:rPr>
              <w:t>.</w:t>
            </w:r>
            <w:r w:rsidRPr="00FC26A2">
              <w:rPr>
                <w:rFonts w:ascii="Garamond" w:hAnsi="Garamond"/>
                <w:sz w:val="18"/>
                <w:szCs w:val="18"/>
              </w:rPr>
              <w:t>2</w:t>
            </w:r>
            <w:r w:rsidR="00200918">
              <w:rPr>
                <w:rFonts w:ascii="Garamond" w:hAnsi="Garamond"/>
                <w:sz w:val="18"/>
                <w:szCs w:val="18"/>
              </w:rPr>
              <w:t>.</w:t>
            </w:r>
            <w:r w:rsidRPr="00FC26A2">
              <w:rPr>
                <w:rFonts w:ascii="Garamond" w:hAnsi="Garamond"/>
                <w:sz w:val="18"/>
                <w:szCs w:val="18"/>
              </w:rPr>
              <w:t>2022</w:t>
            </w:r>
          </w:p>
        </w:tc>
        <w:tc>
          <w:tcPr>
            <w:tcW w:w="907" w:type="pct"/>
          </w:tcPr>
          <w:p w14:paraId="5E89C273"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Themeluar në vitin 1995 në Dibër, Shqipëri</w:t>
            </w:r>
          </w:p>
        </w:tc>
        <w:tc>
          <w:tcPr>
            <w:tcW w:w="895" w:type="pct"/>
          </w:tcPr>
          <w:p w14:paraId="65F5AF29" w14:textId="77777777" w:rsidR="000F550F" w:rsidRPr="00FC26A2" w:rsidRDefault="000F550F" w:rsidP="000F550F">
            <w:pPr>
              <w:pStyle w:val="ECHRDecisionBody"/>
              <w:spacing w:after="0" w:line="240" w:lineRule="auto"/>
              <w:rPr>
                <w:rFonts w:ascii="Garamond" w:hAnsi="Garamond"/>
                <w:sz w:val="18"/>
                <w:szCs w:val="18"/>
              </w:rPr>
            </w:pPr>
            <w:r w:rsidRPr="00FC26A2">
              <w:rPr>
                <w:rFonts w:ascii="Garamond" w:hAnsi="Garamond"/>
                <w:sz w:val="18"/>
                <w:szCs w:val="18"/>
              </w:rPr>
              <w:t>Ardian KASAPI</w:t>
            </w:r>
          </w:p>
        </w:tc>
      </w:tr>
    </w:tbl>
    <w:p w14:paraId="1B0A3AF4" w14:textId="77777777" w:rsidR="00671B54" w:rsidRPr="00FC26A2" w:rsidRDefault="00671B54" w:rsidP="00900957">
      <w:pPr>
        <w:spacing w:after="0" w:line="240" w:lineRule="auto"/>
        <w:ind w:firstLine="284"/>
        <w:rPr>
          <w:rFonts w:ascii="Garamond" w:hAnsi="Garamond"/>
          <w:sz w:val="24"/>
          <w:szCs w:val="24"/>
          <w:lang w:val="sq-AL"/>
        </w:rPr>
      </w:pPr>
    </w:p>
    <w:sectPr w:rsidR="00671B54" w:rsidRPr="00FC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FF"/>
    <w:rsid w:val="000459B5"/>
    <w:rsid w:val="00063409"/>
    <w:rsid w:val="00072A01"/>
    <w:rsid w:val="00077058"/>
    <w:rsid w:val="000A2CD6"/>
    <w:rsid w:val="000C31F2"/>
    <w:rsid w:val="000F550F"/>
    <w:rsid w:val="000F63A2"/>
    <w:rsid w:val="000F74B6"/>
    <w:rsid w:val="001579E4"/>
    <w:rsid w:val="00163823"/>
    <w:rsid w:val="00165361"/>
    <w:rsid w:val="001A0BFC"/>
    <w:rsid w:val="001A4DD9"/>
    <w:rsid w:val="001F38FB"/>
    <w:rsid w:val="00200918"/>
    <w:rsid w:val="00344EB0"/>
    <w:rsid w:val="00371258"/>
    <w:rsid w:val="003B6001"/>
    <w:rsid w:val="003D4854"/>
    <w:rsid w:val="00417258"/>
    <w:rsid w:val="00420FCC"/>
    <w:rsid w:val="00485676"/>
    <w:rsid w:val="00490685"/>
    <w:rsid w:val="00495544"/>
    <w:rsid w:val="004C55CF"/>
    <w:rsid w:val="004E5EA3"/>
    <w:rsid w:val="00512D5B"/>
    <w:rsid w:val="005849B7"/>
    <w:rsid w:val="005B22E9"/>
    <w:rsid w:val="005B5F43"/>
    <w:rsid w:val="005C34C8"/>
    <w:rsid w:val="005D5042"/>
    <w:rsid w:val="0061636A"/>
    <w:rsid w:val="00637E44"/>
    <w:rsid w:val="00663E97"/>
    <w:rsid w:val="00671B54"/>
    <w:rsid w:val="007328F0"/>
    <w:rsid w:val="00770260"/>
    <w:rsid w:val="007A461B"/>
    <w:rsid w:val="007C1BD6"/>
    <w:rsid w:val="007E4A71"/>
    <w:rsid w:val="00880062"/>
    <w:rsid w:val="008838DB"/>
    <w:rsid w:val="0089607D"/>
    <w:rsid w:val="008A5CB2"/>
    <w:rsid w:val="008C7EE7"/>
    <w:rsid w:val="008E5AB6"/>
    <w:rsid w:val="00900957"/>
    <w:rsid w:val="0091613B"/>
    <w:rsid w:val="00A128BB"/>
    <w:rsid w:val="00A323E1"/>
    <w:rsid w:val="00A80D70"/>
    <w:rsid w:val="00AC421F"/>
    <w:rsid w:val="00AD6F91"/>
    <w:rsid w:val="00B0668E"/>
    <w:rsid w:val="00B43176"/>
    <w:rsid w:val="00B6705D"/>
    <w:rsid w:val="00B71F15"/>
    <w:rsid w:val="00B876B5"/>
    <w:rsid w:val="00BF136C"/>
    <w:rsid w:val="00BF4A03"/>
    <w:rsid w:val="00C27509"/>
    <w:rsid w:val="00CB24FA"/>
    <w:rsid w:val="00CD1B7C"/>
    <w:rsid w:val="00CF69DB"/>
    <w:rsid w:val="00D3091D"/>
    <w:rsid w:val="00D65E62"/>
    <w:rsid w:val="00D832C3"/>
    <w:rsid w:val="00DD3CB4"/>
    <w:rsid w:val="00E02A9F"/>
    <w:rsid w:val="00E81A32"/>
    <w:rsid w:val="00EB63AC"/>
    <w:rsid w:val="00F23FBB"/>
    <w:rsid w:val="00F53EE1"/>
    <w:rsid w:val="00F617FF"/>
    <w:rsid w:val="00FA4959"/>
    <w:rsid w:val="00FB18A6"/>
    <w:rsid w:val="00FC2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DDCE"/>
  <w15:chartTrackingRefBased/>
  <w15:docId w15:val="{EE5F6FF4-EA68-4CA0-B807-A74CE510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4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57"/>
    <w:pPr>
      <w:autoSpaceDE w:val="0"/>
      <w:autoSpaceDN w:val="0"/>
      <w:adjustRightInd w:val="0"/>
      <w:spacing w:after="200" w:line="302" w:lineRule="atLeast"/>
      <w:ind w:left="720"/>
    </w:pPr>
    <w:rPr>
      <w:rFonts w:ascii="Calibri" w:hAnsi="Calibri" w:cs="Calibri"/>
      <w:color w:val="000000"/>
      <w:lang w:val="sq-AL"/>
    </w:rPr>
  </w:style>
  <w:style w:type="paragraph" w:customStyle="1" w:styleId="ECHRDecisionBody">
    <w:name w:val="ECHR_Decision_Body"/>
    <w:aliases w:val="Ju_Judges"/>
    <w:basedOn w:val="Normal"/>
    <w:uiPriority w:val="11"/>
    <w:qFormat/>
    <w:rsid w:val="00900957"/>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900957"/>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table" w:styleId="TableGrid">
    <w:name w:val="Table Grid"/>
    <w:basedOn w:val="TableNormal"/>
    <w:uiPriority w:val="59"/>
    <w:rsid w:val="0090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0260"/>
    <w:rPr>
      <w:i/>
      <w:iCs/>
    </w:rPr>
  </w:style>
  <w:style w:type="character" w:customStyle="1" w:styleId="Heading1Char">
    <w:name w:val="Heading 1 Char"/>
    <w:basedOn w:val="DefaultParagraphFont"/>
    <w:link w:val="Heading1"/>
    <w:uiPriority w:val="9"/>
    <w:rsid w:val="00CB24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81057-17</Nr_x002e__x0020_akti>
    <Data_x0020_e_x0020_Krijimit xmlns="0e656187-b300-4fb0-8bf4-3a50f872073c">2025-02-17T10:48:15Z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2025-02-14T00:00:00Z</Date_x0020_protokolli>
    <Titulli xmlns="0e656187-b300-4fb0-8bf4-3a50f872073c">Çëshjta Ibrahimi dhe të tjerë kundër Shqipërisë</Titulli>
    <Modifikuesi xmlns="0e656187-b300-4fb0-8bf4-3a50f872073c">alma.lisaku</Modifikuesi>
    <Nr_x002e__x0020_prot_x0020_QBZ xmlns="0e656187-b300-4fb0-8bf4-3a50f872073c">296/1</Nr_x002e__x0020_prot_x0020_QBZ>
    <Data_x0020_e_x0020_Modifikimit xmlns="0e656187-b300-4fb0-8bf4-3a50f872073c">2025-02-17T15:29:18Z</Data_x0020_e_x0020_Modifikimit>
    <Dekretuar xmlns="0e656187-b300-4fb0-8bf4-3a50f872073c">false</Dekretuar>
    <Data xmlns="0e656187-b300-4fb0-8bf4-3a50f872073c">2025-01-14T00:00:00Z</Data>
    <Nr_x002e__x0020_protokolli_x0020_i_x0020_aktit xmlns="0e656187-b300-4fb0-8bf4-3a50f872073c">497/1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C91BD2CB49E948B1992CC7E3D4D692B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Akt ligjor" ma:contentTypeID="0x010100C91BD2CB49E948B1992CC7E3D4D692B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736348-7B37-49FD-9539-7554207EF31D}">
  <ds:schemaRefs>
    <ds:schemaRef ds:uri="http://schemas.microsoft.com/sharepoint/v3/contenttype/forms"/>
  </ds:schemaRefs>
</ds:datastoreItem>
</file>

<file path=customXml/itemProps2.xml><?xml version="1.0" encoding="utf-8"?>
<ds:datastoreItem xmlns:ds="http://schemas.openxmlformats.org/officeDocument/2006/customXml" ds:itemID="{6BCF7273-551B-42DE-8B14-F74F320EAB2F}">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50130FBD-3430-4E77-BA19-E6B9F03F1155}">
  <ds:schemaRefs>
    <ds:schemaRef ds:uri="http://schemas.microsoft.com/sharepoint/v3/contenttype/forms"/>
  </ds:schemaRefs>
</ds:datastoreItem>
</file>

<file path=customXml/itemProps4.xml><?xml version="1.0" encoding="utf-8"?>
<ds:datastoreItem xmlns:ds="http://schemas.openxmlformats.org/officeDocument/2006/customXml" ds:itemID="{C903858C-AAB0-4307-B8E1-26BDB58B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26B4421-9FFE-4148-890F-057B7CE8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Çëshjta Ibrahimi dhe të tjerë kundër Shqipërisë</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Çëshjta Ibrahimi dhe të tjerë kundër Shqipërisë</dc:title>
  <dc:creator>Entela Suli</dc:creator>
  <cp:lastModifiedBy>Jonida Zaharia</cp:lastModifiedBy>
  <cp:revision>2</cp:revision>
  <dcterms:created xsi:type="dcterms:W3CDTF">2025-05-26T08:43:00Z</dcterms:created>
  <dcterms:modified xsi:type="dcterms:W3CDTF">2025-05-26T08:43:00Z</dcterms:modified>
</cp:coreProperties>
</file>