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9A666" w14:textId="77777777" w:rsidR="00363E6B" w:rsidRPr="000A1564" w:rsidRDefault="00363E6B" w:rsidP="00363E6B">
      <w:pPr>
        <w:jc w:val="center"/>
        <w:rPr>
          <w:rFonts w:ascii="Garamond" w:hAnsi="Garamond"/>
        </w:rPr>
      </w:pPr>
      <w:bookmarkStart w:id="0" w:name="_GoBack"/>
      <w:bookmarkEnd w:id="0"/>
      <w:r w:rsidRPr="000A1564">
        <w:rPr>
          <w:rFonts w:ascii="Garamond" w:hAnsi="Garamond"/>
        </w:rPr>
        <w:t>SEKSIONI I TRETË</w:t>
      </w:r>
    </w:p>
    <w:p w14:paraId="33512A13" w14:textId="77777777" w:rsidR="00363E6B" w:rsidRPr="000A1564" w:rsidRDefault="00363E6B" w:rsidP="00363E6B">
      <w:pPr>
        <w:jc w:val="center"/>
        <w:rPr>
          <w:rFonts w:ascii="Garamond" w:hAnsi="Garamond"/>
        </w:rPr>
      </w:pPr>
    </w:p>
    <w:p w14:paraId="22D22196" w14:textId="25E4A8AB" w:rsidR="00E66060" w:rsidRPr="000A1564" w:rsidRDefault="00E66060" w:rsidP="00E66060">
      <w:pPr>
        <w:jc w:val="center"/>
        <w:rPr>
          <w:rFonts w:ascii="Garamond" w:hAnsi="Garamond"/>
          <w:b/>
        </w:rPr>
      </w:pPr>
      <w:r w:rsidRPr="000A1564">
        <w:rPr>
          <w:rFonts w:ascii="Garamond" w:hAnsi="Garamond"/>
          <w:b/>
        </w:rPr>
        <w:t>VENDIM</w:t>
      </w:r>
    </w:p>
    <w:p w14:paraId="1DC6D6B3" w14:textId="77777777" w:rsidR="00363E6B" w:rsidRPr="008F2916" w:rsidRDefault="00363E6B" w:rsidP="00363E6B">
      <w:pPr>
        <w:jc w:val="center"/>
        <w:rPr>
          <w:rFonts w:ascii="Garamond" w:hAnsi="Garamond"/>
          <w:i/>
        </w:rPr>
      </w:pPr>
      <w:r w:rsidRPr="008F2916">
        <w:rPr>
          <w:rFonts w:ascii="Garamond" w:hAnsi="Garamond"/>
          <w:i/>
        </w:rPr>
        <w:t>Kërkesa nr. 945/16</w:t>
      </w:r>
    </w:p>
    <w:p w14:paraId="4CCEFFBE" w14:textId="77777777" w:rsidR="00997477" w:rsidRPr="000A1564" w:rsidRDefault="00997477" w:rsidP="00E66060">
      <w:pPr>
        <w:jc w:val="center"/>
        <w:rPr>
          <w:rFonts w:ascii="Garamond" w:hAnsi="Garamond"/>
          <w:b/>
        </w:rPr>
      </w:pPr>
    </w:p>
    <w:p w14:paraId="4AC63DD2" w14:textId="77777777" w:rsidR="00E66060" w:rsidRPr="000A1564" w:rsidRDefault="00E66060" w:rsidP="00E66060">
      <w:pPr>
        <w:jc w:val="center"/>
        <w:rPr>
          <w:rFonts w:ascii="Garamond" w:hAnsi="Garamond"/>
          <w:b/>
        </w:rPr>
      </w:pPr>
      <w:r w:rsidRPr="000A1564">
        <w:rPr>
          <w:rFonts w:ascii="Garamond" w:hAnsi="Garamond"/>
          <w:b/>
        </w:rPr>
        <w:t>Petrit PONARI</w:t>
      </w:r>
    </w:p>
    <w:p w14:paraId="323E8CAA" w14:textId="77777777" w:rsidR="00E66060" w:rsidRPr="000A1564" w:rsidRDefault="00E66060" w:rsidP="00E66060">
      <w:pPr>
        <w:jc w:val="center"/>
        <w:rPr>
          <w:rFonts w:ascii="Garamond" w:hAnsi="Garamond"/>
          <w:b/>
        </w:rPr>
      </w:pPr>
      <w:r w:rsidRPr="000A1564">
        <w:rPr>
          <w:rFonts w:ascii="Garamond" w:hAnsi="Garamond"/>
          <w:b/>
        </w:rPr>
        <w:t>kundër Shqipërisë</w:t>
      </w:r>
    </w:p>
    <w:p w14:paraId="24A71466" w14:textId="77777777" w:rsidR="00E66060" w:rsidRPr="0033484D" w:rsidRDefault="00E66060" w:rsidP="00E66060">
      <w:pPr>
        <w:jc w:val="center"/>
        <w:rPr>
          <w:rFonts w:ascii="Garamond" w:hAnsi="Garamond"/>
          <w:i/>
        </w:rPr>
      </w:pPr>
      <w:r w:rsidRPr="0033484D">
        <w:rPr>
          <w:rFonts w:ascii="Garamond" w:hAnsi="Garamond"/>
          <w:i/>
        </w:rPr>
        <w:t>(shih tabelën bashkëlidhur)</w:t>
      </w:r>
    </w:p>
    <w:p w14:paraId="38C66133" w14:textId="77777777" w:rsidR="00E66060" w:rsidRPr="000A1564" w:rsidRDefault="00E66060" w:rsidP="00E66060">
      <w:pPr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color w:val="000000"/>
        </w:rPr>
      </w:pPr>
    </w:p>
    <w:p w14:paraId="6485F7FB" w14:textId="79A17994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>Gjykata Evropiane e të Drejtave të Njeriut (Seksioni i Tretë)</w:t>
      </w:r>
      <w:r w:rsidR="008F2916">
        <w:rPr>
          <w:rFonts w:ascii="Garamond" w:hAnsi="Garamond" w:cs="Times New Roman"/>
          <w:color w:val="000000"/>
        </w:rPr>
        <w:t>,</w:t>
      </w:r>
      <w:r w:rsidRPr="000A1564">
        <w:rPr>
          <w:rFonts w:ascii="Garamond" w:hAnsi="Garamond" w:cs="Times New Roman"/>
          <w:color w:val="000000"/>
        </w:rPr>
        <w:t xml:space="preserve"> e mbledhur më 24 shkurt 2022 si Komision, i përbërë nga: </w:t>
      </w:r>
    </w:p>
    <w:p w14:paraId="028756AB" w14:textId="152ECD73" w:rsidR="00E66060" w:rsidRPr="000A1564" w:rsidRDefault="00E66060" w:rsidP="00E66060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  <w:color w:val="000000"/>
        </w:rPr>
      </w:pPr>
      <w:r w:rsidRPr="000A1564">
        <w:rPr>
          <w:rFonts w:ascii="Garamond" w:hAnsi="Garamond" w:cs="Times New Roman"/>
          <w:color w:val="000000"/>
        </w:rPr>
        <w:t>Peeter Roosma,</w:t>
      </w:r>
      <w:r w:rsidRPr="000A1564">
        <w:rPr>
          <w:rFonts w:ascii="Garamond" w:hAnsi="Garamond" w:cs="Times New Roman"/>
          <w:i/>
          <w:iCs/>
          <w:color w:val="000000"/>
        </w:rPr>
        <w:t xml:space="preserve"> </w:t>
      </w:r>
      <w:r w:rsidR="000A1564" w:rsidRPr="000A1564">
        <w:rPr>
          <w:rFonts w:ascii="Garamond" w:hAnsi="Garamond" w:cs="Times New Roman"/>
          <w:i/>
          <w:iCs/>
          <w:color w:val="000000"/>
        </w:rPr>
        <w:t>kryetar</w:t>
      </w:r>
      <w:r w:rsidRPr="000A1564">
        <w:rPr>
          <w:rFonts w:ascii="Garamond" w:hAnsi="Garamond" w:cs="Times New Roman"/>
          <w:i/>
          <w:iCs/>
          <w:color w:val="000000"/>
        </w:rPr>
        <w:t>,</w:t>
      </w:r>
    </w:p>
    <w:p w14:paraId="1D14829D" w14:textId="646FC592" w:rsidR="00E66060" w:rsidRPr="000A1564" w:rsidRDefault="00E66060" w:rsidP="00E66060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Andreas Zünd, </w:t>
      </w:r>
    </w:p>
    <w:p w14:paraId="36E3861F" w14:textId="2EFB4D9A" w:rsidR="00E66060" w:rsidRPr="000A1564" w:rsidRDefault="00E66060" w:rsidP="00E66060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>Mikhail Lobov</w:t>
      </w:r>
      <w:r w:rsidRPr="000A1564">
        <w:rPr>
          <w:rFonts w:ascii="Garamond" w:hAnsi="Garamond" w:cs="Times New Roman"/>
          <w:i/>
          <w:iCs/>
          <w:color w:val="000000"/>
        </w:rPr>
        <w:t>, gjyqtarë,</w:t>
      </w:r>
    </w:p>
    <w:p w14:paraId="519D2FDF" w14:textId="788380C3" w:rsidR="00E66060" w:rsidRPr="000A1564" w:rsidRDefault="00E66060" w:rsidP="00E66060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i/>
          <w:iCs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dhe Viktoriya Maradudina, </w:t>
      </w:r>
      <w:r w:rsidR="000A1564" w:rsidRPr="000A1564">
        <w:rPr>
          <w:rFonts w:ascii="Garamond" w:hAnsi="Garamond" w:cs="Times New Roman"/>
          <w:i/>
          <w:iCs/>
          <w:color w:val="000000"/>
        </w:rPr>
        <w:t>zëvendës</w:t>
      </w:r>
      <w:r w:rsidR="000A1564">
        <w:rPr>
          <w:rFonts w:ascii="Garamond" w:hAnsi="Garamond" w:cs="Times New Roman"/>
          <w:i/>
          <w:iCs/>
          <w:color w:val="000000"/>
        </w:rPr>
        <w:t>r</w:t>
      </w:r>
      <w:r w:rsidR="000A1564" w:rsidRPr="000A1564">
        <w:rPr>
          <w:rFonts w:ascii="Garamond" w:hAnsi="Garamond" w:cs="Times New Roman"/>
          <w:i/>
          <w:iCs/>
          <w:color w:val="000000"/>
        </w:rPr>
        <w:t>egjistrare e përkohshm</w:t>
      </w:r>
      <w:r w:rsidRPr="000A1564">
        <w:rPr>
          <w:rFonts w:ascii="Garamond" w:hAnsi="Garamond" w:cs="Times New Roman"/>
          <w:i/>
          <w:iCs/>
          <w:color w:val="000000"/>
        </w:rPr>
        <w:t xml:space="preserve">e e Seksionit, </w:t>
      </w:r>
    </w:p>
    <w:p w14:paraId="16426B56" w14:textId="59A74E68" w:rsidR="00E66060" w:rsidRPr="000A1564" w:rsidRDefault="00E212B9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p</w:t>
      </w:r>
      <w:r w:rsidR="00E66060" w:rsidRPr="000A1564">
        <w:rPr>
          <w:rFonts w:ascii="Garamond" w:hAnsi="Garamond" w:cs="Times New Roman"/>
          <w:color w:val="000000"/>
        </w:rPr>
        <w:t>asi mori në konsideratë kërkesën e mësipërme të paraqitur më 18 dhjetor 2015,</w:t>
      </w:r>
    </w:p>
    <w:p w14:paraId="0D1C763F" w14:textId="414CFDC8" w:rsidR="00E66060" w:rsidRPr="000A1564" w:rsidRDefault="00E212B9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d</w:t>
      </w:r>
      <w:r w:rsidR="00E66060" w:rsidRPr="000A1564">
        <w:rPr>
          <w:rFonts w:ascii="Garamond" w:hAnsi="Garamond" w:cs="Times New Roman"/>
          <w:color w:val="000000"/>
        </w:rPr>
        <w:t>uke marrë në konsideratë deklaratën e paraqitur nga Qeveria e paditur, në të cilën kërkohej përjashtimi i kërkesës nga lista e çështjeve</w:t>
      </w:r>
      <w:r>
        <w:rPr>
          <w:rFonts w:ascii="Garamond" w:hAnsi="Garamond" w:cs="Times New Roman"/>
          <w:color w:val="000000"/>
        </w:rPr>
        <w:t>,</w:t>
      </w:r>
    </w:p>
    <w:p w14:paraId="17F1049D" w14:textId="32106017" w:rsidR="00E66060" w:rsidRPr="000A1564" w:rsidRDefault="00E212B9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p</w:t>
      </w:r>
      <w:r w:rsidR="00E66060" w:rsidRPr="000A1564">
        <w:rPr>
          <w:rFonts w:ascii="Garamond" w:hAnsi="Garamond" w:cs="Times New Roman"/>
          <w:color w:val="000000"/>
        </w:rPr>
        <w:t xml:space="preserve">asi diskutoi, vendos si më poshtë: </w:t>
      </w:r>
    </w:p>
    <w:p w14:paraId="39431245" w14:textId="77777777" w:rsidR="00E212B9" w:rsidRDefault="00E212B9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</w:p>
    <w:p w14:paraId="1171799E" w14:textId="77777777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FAKTET DHE PROCEDURA </w:t>
      </w:r>
    </w:p>
    <w:p w14:paraId="1D03E4B2" w14:textId="77777777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>Detajet e kërkuesit paraqiten në tabelën bashkëlidhur. Ai u përfaqësua nga z. B. Peka, një avokat i cili e ushtron profesionin në Tiranë.</w:t>
      </w:r>
    </w:p>
    <w:p w14:paraId="3969484C" w14:textId="1C6729D3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Qeverisë së Shqipërisë (“Qeverisë”) iu komunikuan ankesat e kërkuesit, bërë në mbështetje të </w:t>
      </w:r>
      <w:r w:rsidR="001540CF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eneve 6 § 1 dhe </w:t>
      </w:r>
      <w:r w:rsidR="001540CF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enit 13 të Konventës, në lidhje me moszbatimin e vendimit të brendshëm. </w:t>
      </w:r>
    </w:p>
    <w:p w14:paraId="0FC655BB" w14:textId="77777777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LIGJI </w:t>
      </w:r>
    </w:p>
    <w:p w14:paraId="40B4AA59" w14:textId="1C707518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Pas negociatave të pasuksesshme për t’u arritur një zgjidhje miqësore, Qeveria informoi Gjykatën se kishte propozuar të bënte një deklaratë njëanëshe për zgjidhjen e çështjeve të paraqitura me anë të këtyre ankesave. Në vijim, Qeveria i kërkoi Gjykatës ta përjashtonte kërkesën në mbështetje të </w:t>
      </w:r>
      <w:r w:rsidR="001540CF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enit 37 të Konventës. </w:t>
      </w:r>
    </w:p>
    <w:p w14:paraId="6DF7F82A" w14:textId="2220023A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Qeveria e pranoi se moszbatimi i vendimeve të brendshme kishte shkelur të drejtat e kërkuesit të garantuara nga </w:t>
      </w:r>
      <w:r w:rsidR="001540CF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 6§1 i Konventës.  Qeveria pranoi t’i paguante kërkuesit shumën e detajuar në tabelën bashkëlidhur, dhe e ftonte Gjykatën ta hiqte kërkesën nga lista e çështjeve në mbështetje të </w:t>
      </w:r>
      <w:r w:rsidR="001540CF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enit 37§1 (c) të Konventës. Shuma do të konvertohej në monedhën e Shtetit të paditur në normën e zbatueshme në datën e shlyerjes së pagesës dhe do të shlyhej brenda tre muajve nga data e njoftimit të vendimit të Gjykatës. Në rastin e mospagimit të kësaj shume brenda afatit tremujor, Qeveria merrte përsipër të paguante interesin e thjeshtë ndaj shumës, që nga përfundimi i periudhës deri në shlyerje, në normën e barabartë me normën margjinale të huadhënies të Bankës Qendrore Evropiane gjatë periudhës së mosshlyerjes së pagesës plus tre pikë përqindje. Gjithashtu, Qeveria merrte përsipër të garantonte edhe zbatimin e vendimit të brendshëm respektiv për çështjen brenda </w:t>
      </w:r>
      <w:r w:rsidR="00FD49A7">
        <w:rPr>
          <w:rFonts w:ascii="Garamond" w:hAnsi="Garamond" w:cs="Times New Roman"/>
          <w:color w:val="000000"/>
        </w:rPr>
        <w:t>s</w:t>
      </w:r>
      <w:r w:rsidRPr="000A1564">
        <w:rPr>
          <w:rFonts w:ascii="Garamond" w:hAnsi="Garamond" w:cs="Times New Roman"/>
          <w:color w:val="000000"/>
        </w:rPr>
        <w:t xml:space="preserve">ë njëjtës periudhë tremujore. </w:t>
      </w:r>
    </w:p>
    <w:p w14:paraId="5CF8494F" w14:textId="77777777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Shlyerja e shumës dhe zbatimi i vendimit të brendshëm do të përbënte zgjidhjen përfundimtare të çështjes. </w:t>
      </w:r>
    </w:p>
    <w:p w14:paraId="3C2144D3" w14:textId="77777777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Kërkuesit iu dërguan kushtet e deklaratës së njëanshme të Qeverisë disa javë përpara datës së këtij vendimi. Ai nuk i pranoi kushtet e deklaratës. </w:t>
      </w:r>
    </w:p>
    <w:p w14:paraId="635A266C" w14:textId="1DBC60ED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Gjykata vëren se </w:t>
      </w:r>
      <w:r w:rsidR="002F5401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 37§1 (c) i mundëson asaj përjashtimin e një çështje nga lista e saj, nëse: </w:t>
      </w:r>
    </w:p>
    <w:p w14:paraId="1480D9EC" w14:textId="77777777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“... për çdo arsye tjetër që, sipas Gjykatës, nuk justifikon vazhdimin e shqyrtimit të kërkesës”. </w:t>
      </w:r>
    </w:p>
    <w:p w14:paraId="2E3500A9" w14:textId="7C895C1F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Për këtë arsye, ajo mund t’i përjashtojë kërkesat në mbështetje të </w:t>
      </w:r>
      <w:r w:rsidR="002F5401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>enit 37§1 (c) sipas deklaratës së njëanshme bërë nga një Qeveri e paditur edhe nëse kërkuesi dëshiron që të vijohet me shqyrtimin e çështjes (kundërshtime paraprake) [DHM], nr. 26307/95, §§ 75-77, GJEDNJ 2003-VI).</w:t>
      </w:r>
    </w:p>
    <w:p w14:paraId="426729A3" w14:textId="64DEC78F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lastRenderedPageBreak/>
        <w:t xml:space="preserve">Gjykata ka krijuar një praktikë gjyqësore të qartë dhe të gjerë në lidhje me ankesat që kanë të bëjnë me moszbatimin ose zbatimin e vonuar të vendimeve të brendshme (shih, për shembull, </w:t>
      </w:r>
      <w:r w:rsidRPr="000A1564">
        <w:rPr>
          <w:rFonts w:ascii="Garamond" w:hAnsi="Garamond" w:cs="Times New Roman"/>
          <w:i/>
          <w:iCs/>
          <w:color w:val="000000"/>
        </w:rPr>
        <w:t xml:space="preserve">Qufaj Co </w:t>
      </w:r>
      <w:r w:rsidR="002F5401">
        <w:rPr>
          <w:rFonts w:ascii="Garamond" w:hAnsi="Garamond" w:cs="Times New Roman"/>
          <w:i/>
          <w:iCs/>
          <w:color w:val="000000"/>
        </w:rPr>
        <w:t>s</w:t>
      </w:r>
      <w:r w:rsidRPr="000A1564">
        <w:rPr>
          <w:rFonts w:ascii="Garamond" w:hAnsi="Garamond" w:cs="Times New Roman"/>
          <w:i/>
          <w:iCs/>
          <w:color w:val="000000"/>
        </w:rPr>
        <w:t xml:space="preserve">h.p.k. kundër Shqipërisë, </w:t>
      </w:r>
      <w:r w:rsidRPr="000A1564">
        <w:rPr>
          <w:rFonts w:ascii="Garamond" w:hAnsi="Garamond" w:cs="Times New Roman"/>
          <w:color w:val="000000"/>
        </w:rPr>
        <w:t xml:space="preserve">nr. 54268/00, 18 nëntor 2004 dhe </w:t>
      </w:r>
      <w:r w:rsidRPr="000A1564">
        <w:rPr>
          <w:rFonts w:ascii="Garamond" w:hAnsi="Garamond" w:cs="Times New Roman"/>
          <w:i/>
          <w:iCs/>
          <w:color w:val="000000"/>
        </w:rPr>
        <w:t>Gjyli kundër Shqipërisë</w:t>
      </w:r>
      <w:r w:rsidRPr="000A1564">
        <w:rPr>
          <w:rFonts w:ascii="Garamond" w:hAnsi="Garamond" w:cs="Times New Roman"/>
          <w:color w:val="000000"/>
        </w:rPr>
        <w:t xml:space="preserve">, nr. 32907/07, 29 shtator 2009). </w:t>
      </w:r>
    </w:p>
    <w:p w14:paraId="0AB52EAE" w14:textId="4D3B728F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>Sipas parashtrimeve në deklaratën e Qeverisë si edhe sipas angazhimit të Qeverisë që të zbatojë vendimin përfundimtar dhe për sa ka të bëjë me shumën e kompensimit të propozuar – Gjykata gjykon se nuk është e justifikueshme të vijohet me shqyrtimin e kërkesës (</w:t>
      </w:r>
      <w:r w:rsidR="002F5401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 37§1 (c)). </w:t>
      </w:r>
    </w:p>
    <w:p w14:paraId="63CC823B" w14:textId="35CEF717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>Sipas parashtrimeve të mësipërme, Gjykata vendos se në respektim të të drejtave të njeriut sipas Konventës dhe Protokolleve të saj, nuk i kërkohet që të vijojë me shqyrtimin e pjesës respektive të kërkesës (</w:t>
      </w:r>
      <w:r w:rsidR="002F5401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 37§1 </w:t>
      </w:r>
      <w:r w:rsidRPr="000A1564">
        <w:rPr>
          <w:rFonts w:ascii="Garamond" w:hAnsi="Garamond" w:cs="Times New Roman"/>
          <w:i/>
          <w:iCs/>
          <w:color w:val="000000"/>
        </w:rPr>
        <w:t>in fine</w:t>
      </w:r>
      <w:r w:rsidRPr="000A1564">
        <w:rPr>
          <w:rFonts w:ascii="Garamond" w:hAnsi="Garamond" w:cs="Times New Roman"/>
          <w:color w:val="000000"/>
        </w:rPr>
        <w:t xml:space="preserve">). </w:t>
      </w:r>
    </w:p>
    <w:p w14:paraId="37ACF40A" w14:textId="2F58DDBC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Së fundmi, Gjykata nënvizon se nëse Qeveria nuk respekton kushtet e deklaratës së saj të njëanshme, kërkesa mund të rikthehet në listë, në respektim të </w:t>
      </w:r>
      <w:r w:rsidR="002F5401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enit 37§2 të Konventës (shih </w:t>
      </w:r>
      <w:r w:rsidRPr="000A1564">
        <w:rPr>
          <w:rFonts w:ascii="Garamond" w:hAnsi="Garamond" w:cs="Times New Roman"/>
          <w:i/>
          <w:iCs/>
          <w:color w:val="000000"/>
        </w:rPr>
        <w:t>Josipović kundër Serbisë</w:t>
      </w:r>
      <w:r w:rsidRPr="000A1564">
        <w:rPr>
          <w:rFonts w:ascii="Garamond" w:hAnsi="Garamond" w:cs="Times New Roman"/>
          <w:color w:val="000000"/>
        </w:rPr>
        <w:t xml:space="preserve"> (vendim), nr. 18369/07, 4 mars 2008). </w:t>
      </w:r>
    </w:p>
    <w:p w14:paraId="011AFEF9" w14:textId="755E4EAF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Sa më sipër, është me vend që kërkesa të përjashtohet nga lista e çështjeve për sa ka të bëjë me ankesën sipas </w:t>
      </w:r>
      <w:r w:rsidR="002F5401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enit 6§1 të Konventës. </w:t>
      </w:r>
    </w:p>
    <w:p w14:paraId="03B45A0C" w14:textId="0D8271DF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Në vijim kërkuesi u ankua sipas </w:t>
      </w:r>
      <w:r w:rsidR="002F5401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enit 13 të Konventës për mungesën e zgjidhjes efektive në lidhje me moszbatimin e vendimeve të brendshme. Në mbështetje të fakteve të çështjes, deklaratës së njëanshme të Qeverisë dhe vendimit të Gjykatës për ta përjashtuar ankesën nga lista sipas </w:t>
      </w:r>
      <w:r w:rsidR="002F5401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enit 6§1 të Konventës, Gjykata gjykon se çështja kryesore ligjore që ngrihet në kërkesën konkrete është zgjidhur. Për këtë arsye, ajo arrin në përfundimin se nuk është e nevojshme që të shqyrtohet kjo pjesë e kërkesës. </w:t>
      </w:r>
    </w:p>
    <w:p w14:paraId="38EF2BB1" w14:textId="57CA13BD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>Për këto arsye, Gjykata, në mënyrë unanime</w:t>
      </w:r>
      <w:r w:rsidR="006055D1">
        <w:rPr>
          <w:rFonts w:ascii="Garamond" w:hAnsi="Garamond" w:cs="Times New Roman"/>
          <w:color w:val="000000"/>
        </w:rPr>
        <w:t>:</w:t>
      </w:r>
    </w:p>
    <w:p w14:paraId="4A6C0684" w14:textId="5F94EF72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i/>
          <w:iCs/>
          <w:color w:val="000000"/>
        </w:rPr>
        <w:t>Mban në konsideratë</w:t>
      </w:r>
      <w:r w:rsidRPr="000A1564">
        <w:rPr>
          <w:rFonts w:ascii="Garamond" w:hAnsi="Garamond" w:cs="Times New Roman"/>
          <w:color w:val="000000"/>
        </w:rPr>
        <w:t xml:space="preserve"> kushtet në deklaratën e Qeverisë së paditur dhe angazhimin për të garantuar përmbushjen e premtimeve të bëra në të</w:t>
      </w:r>
      <w:r w:rsidR="006055D1">
        <w:rPr>
          <w:rFonts w:ascii="Garamond" w:hAnsi="Garamond" w:cs="Times New Roman"/>
          <w:color w:val="000000"/>
        </w:rPr>
        <w:t>;</w:t>
      </w:r>
      <w:r w:rsidRPr="000A1564">
        <w:rPr>
          <w:rFonts w:ascii="Garamond" w:hAnsi="Garamond" w:cs="Times New Roman"/>
          <w:color w:val="000000"/>
        </w:rPr>
        <w:t xml:space="preserve"> </w:t>
      </w:r>
    </w:p>
    <w:p w14:paraId="770DB1B5" w14:textId="51C1CBF0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i/>
          <w:iCs/>
          <w:color w:val="000000"/>
        </w:rPr>
        <w:t xml:space="preserve">Vendos </w:t>
      </w:r>
      <w:r w:rsidRPr="000A1564">
        <w:rPr>
          <w:rFonts w:ascii="Garamond" w:hAnsi="Garamond" w:cs="Times New Roman"/>
          <w:color w:val="000000"/>
        </w:rPr>
        <w:t xml:space="preserve">ta heqë kërkesën nga lista e çështjeve për sa ka të bëjë me ankesën në mbështetje të </w:t>
      </w:r>
      <w:r w:rsidR="003F60CE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enit 6 §1 të Konventës, sipas </w:t>
      </w:r>
      <w:r w:rsidR="003F60CE">
        <w:rPr>
          <w:rFonts w:ascii="Garamond" w:hAnsi="Garamond" w:cs="Times New Roman"/>
          <w:color w:val="000000"/>
        </w:rPr>
        <w:t>n</w:t>
      </w:r>
      <w:r w:rsidRPr="000A1564">
        <w:rPr>
          <w:rFonts w:ascii="Garamond" w:hAnsi="Garamond" w:cs="Times New Roman"/>
          <w:color w:val="000000"/>
        </w:rPr>
        <w:t xml:space="preserve">enit 37§1 (c) të Konventës; </w:t>
      </w:r>
    </w:p>
    <w:p w14:paraId="1227C09E" w14:textId="77777777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i/>
          <w:iCs/>
          <w:color w:val="000000"/>
        </w:rPr>
        <w:t xml:space="preserve">Vendos </w:t>
      </w:r>
      <w:r w:rsidRPr="000A1564">
        <w:rPr>
          <w:rFonts w:ascii="Garamond" w:hAnsi="Garamond" w:cs="Times New Roman"/>
          <w:color w:val="000000"/>
        </w:rPr>
        <w:t xml:space="preserve">se nuk është e nevojshme të shqyrtohet pjesa tjetër e ankesës. </w:t>
      </w:r>
    </w:p>
    <w:p w14:paraId="361134C4" w14:textId="77777777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0A1564">
        <w:rPr>
          <w:rFonts w:ascii="Garamond" w:hAnsi="Garamond" w:cs="Times New Roman"/>
          <w:color w:val="000000"/>
        </w:rPr>
        <w:t xml:space="preserve">Hartuar në anglisht dhe njoftuar me shkrim më 17 mars 2022. </w:t>
      </w:r>
    </w:p>
    <w:p w14:paraId="79DCE56F" w14:textId="77777777" w:rsidR="00E66060" w:rsidRPr="000A1564" w:rsidRDefault="00E66060" w:rsidP="00E66060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87"/>
        <w:gridCol w:w="9"/>
      </w:tblGrid>
      <w:tr w:rsidR="00E66060" w:rsidRPr="000A1564" w14:paraId="7282D617" w14:textId="77777777" w:rsidTr="003342C4">
        <w:trPr>
          <w:gridAfter w:val="1"/>
          <w:wAfter w:w="9" w:type="dxa"/>
          <w:jc w:val="center"/>
        </w:trPr>
        <w:tc>
          <w:tcPr>
            <w:tcW w:w="3652" w:type="dxa"/>
          </w:tcPr>
          <w:p w14:paraId="73029C2B" w14:textId="2D6E62B7" w:rsidR="00E66060" w:rsidRPr="000A1564" w:rsidRDefault="00E66060" w:rsidP="00E6606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0A1564">
              <w:rPr>
                <w:rFonts w:ascii="Garamond" w:hAnsi="Garamond" w:cs="Times New Roman"/>
                <w:b/>
                <w:color w:val="000000"/>
              </w:rPr>
              <w:t>Viktoriya Maradudina</w:t>
            </w:r>
          </w:p>
        </w:tc>
        <w:tc>
          <w:tcPr>
            <w:tcW w:w="2287" w:type="dxa"/>
          </w:tcPr>
          <w:p w14:paraId="462E1FB2" w14:textId="03B5AFEE" w:rsidR="00E66060" w:rsidRPr="000A1564" w:rsidRDefault="00E66060" w:rsidP="00E6606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0000"/>
              </w:rPr>
            </w:pPr>
            <w:r w:rsidRPr="000A1564">
              <w:rPr>
                <w:rFonts w:ascii="Garamond" w:hAnsi="Garamond" w:cs="Times New Roman"/>
                <w:b/>
                <w:color w:val="000000"/>
              </w:rPr>
              <w:t>Peeter Roosma</w:t>
            </w:r>
          </w:p>
        </w:tc>
      </w:tr>
      <w:tr w:rsidR="00E66060" w:rsidRPr="000A1564" w14:paraId="0B9554EE" w14:textId="77777777" w:rsidTr="003342C4">
        <w:trPr>
          <w:jc w:val="center"/>
        </w:trPr>
        <w:tc>
          <w:tcPr>
            <w:tcW w:w="3652" w:type="dxa"/>
          </w:tcPr>
          <w:p w14:paraId="205C15D0" w14:textId="63D1ACB4" w:rsidR="00E66060" w:rsidRPr="000A1564" w:rsidRDefault="00E66060" w:rsidP="003F60C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</w:rPr>
            </w:pPr>
            <w:r w:rsidRPr="000A1564">
              <w:rPr>
                <w:rFonts w:ascii="Garamond" w:hAnsi="Garamond" w:cs="Times New Roman"/>
                <w:color w:val="000000"/>
              </w:rPr>
              <w:t>Zëvendës</w:t>
            </w:r>
            <w:r w:rsidR="003F60CE">
              <w:rPr>
                <w:rFonts w:ascii="Garamond" w:hAnsi="Garamond" w:cs="Times New Roman"/>
                <w:color w:val="000000"/>
              </w:rPr>
              <w:t>r</w:t>
            </w:r>
            <w:r w:rsidRPr="000A1564">
              <w:rPr>
                <w:rFonts w:ascii="Garamond" w:hAnsi="Garamond" w:cs="Times New Roman"/>
                <w:color w:val="000000"/>
              </w:rPr>
              <w:t xml:space="preserve">egjistrare e </w:t>
            </w:r>
            <w:r w:rsidR="003F60CE">
              <w:rPr>
                <w:rFonts w:ascii="Garamond" w:hAnsi="Garamond" w:cs="Times New Roman"/>
                <w:color w:val="000000"/>
              </w:rPr>
              <w:t>p</w:t>
            </w:r>
            <w:r w:rsidRPr="000A1564">
              <w:rPr>
                <w:rFonts w:ascii="Garamond" w:hAnsi="Garamond" w:cs="Times New Roman"/>
                <w:color w:val="000000"/>
              </w:rPr>
              <w:t>ërkohshme</w:t>
            </w:r>
          </w:p>
        </w:tc>
        <w:tc>
          <w:tcPr>
            <w:tcW w:w="2296" w:type="dxa"/>
            <w:gridSpan w:val="2"/>
          </w:tcPr>
          <w:p w14:paraId="07BD7DF2" w14:textId="1B6C59FE" w:rsidR="00E66060" w:rsidRPr="000A1564" w:rsidRDefault="00E66060" w:rsidP="00E6606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</w:rPr>
            </w:pPr>
            <w:r w:rsidRPr="000A1564">
              <w:rPr>
                <w:rFonts w:ascii="Garamond" w:hAnsi="Garamond" w:cs="Times New Roman"/>
                <w:color w:val="000000"/>
              </w:rPr>
              <w:t>Kryetar</w:t>
            </w:r>
          </w:p>
        </w:tc>
      </w:tr>
    </w:tbl>
    <w:p w14:paraId="26C53526" w14:textId="77777777" w:rsidR="00E66060" w:rsidRPr="000A1564" w:rsidRDefault="00E66060" w:rsidP="005A7D71">
      <w:pPr>
        <w:pStyle w:val="JuPara"/>
        <w:spacing w:line="276" w:lineRule="auto"/>
        <w:jc w:val="center"/>
        <w:rPr>
          <w:rFonts w:ascii="Garamond" w:hAnsi="Garamond"/>
        </w:rPr>
      </w:pPr>
    </w:p>
    <w:p w14:paraId="7A86422B" w14:textId="77777777" w:rsidR="00CA48BE" w:rsidRPr="000A1564" w:rsidRDefault="00CA48BE" w:rsidP="005A7D71">
      <w:pPr>
        <w:pStyle w:val="JuPara"/>
        <w:spacing w:line="276" w:lineRule="auto"/>
        <w:jc w:val="center"/>
        <w:rPr>
          <w:rFonts w:ascii="Garamond" w:hAnsi="Garamond"/>
        </w:rPr>
      </w:pPr>
      <w:r w:rsidRPr="000A1564">
        <w:rPr>
          <w:rFonts w:ascii="Garamond" w:hAnsi="Garamond"/>
        </w:rPr>
        <w:t xml:space="preserve">SHTOJCË </w:t>
      </w:r>
    </w:p>
    <w:p w14:paraId="0BA56D40" w14:textId="77777777" w:rsidR="00CA48BE" w:rsidRPr="000A1564" w:rsidRDefault="00CA48BE" w:rsidP="005A7D71">
      <w:pPr>
        <w:pStyle w:val="JuPara"/>
        <w:spacing w:line="276" w:lineRule="auto"/>
        <w:jc w:val="center"/>
        <w:rPr>
          <w:rFonts w:ascii="Garamond" w:hAnsi="Garamond"/>
        </w:rPr>
      </w:pPr>
    </w:p>
    <w:p w14:paraId="645CED04" w14:textId="0C61A8A5" w:rsidR="00CA48BE" w:rsidRPr="000A1564" w:rsidRDefault="00CA48BE" w:rsidP="005A7D71">
      <w:pPr>
        <w:pStyle w:val="JuPara"/>
        <w:spacing w:line="276" w:lineRule="auto"/>
        <w:jc w:val="center"/>
        <w:rPr>
          <w:rFonts w:ascii="Garamond" w:hAnsi="Garamond" w:cstheme="minorHAnsi"/>
        </w:rPr>
      </w:pPr>
      <w:r w:rsidRPr="000A1564">
        <w:rPr>
          <w:rFonts w:ascii="Garamond" w:hAnsi="Garamond"/>
        </w:rPr>
        <w:t xml:space="preserve">Kërkesë e cila parashtron ankesa </w:t>
      </w:r>
      <w:r w:rsidR="00C94FFB" w:rsidRPr="000A1564">
        <w:rPr>
          <w:rFonts w:ascii="Garamond" w:hAnsi="Garamond"/>
        </w:rPr>
        <w:t>në mbështetje të</w:t>
      </w:r>
      <w:r w:rsidRPr="000A1564">
        <w:rPr>
          <w:rFonts w:ascii="Garamond" w:hAnsi="Garamond"/>
        </w:rPr>
        <w:t xml:space="preserve"> </w:t>
      </w:r>
      <w:r w:rsidR="006055D1">
        <w:rPr>
          <w:rFonts w:ascii="Garamond" w:hAnsi="Garamond"/>
        </w:rPr>
        <w:t>n</w:t>
      </w:r>
      <w:r w:rsidRPr="000A1564">
        <w:rPr>
          <w:rFonts w:ascii="Garamond" w:hAnsi="Garamond"/>
        </w:rPr>
        <w:t>enit 6</w:t>
      </w:r>
      <w:r w:rsidRPr="000A1564">
        <w:rPr>
          <w:rFonts w:ascii="Garamond" w:hAnsi="Garamond" w:cstheme="minorHAnsi"/>
        </w:rPr>
        <w:t xml:space="preserve">§1 të Konventës </w:t>
      </w:r>
    </w:p>
    <w:p w14:paraId="2AC4F65B" w14:textId="27B19CC3" w:rsidR="00CA48BE" w:rsidRPr="000A1564" w:rsidRDefault="00CA48BE" w:rsidP="005A7D71">
      <w:pPr>
        <w:pStyle w:val="JuPara"/>
        <w:spacing w:line="276" w:lineRule="auto"/>
        <w:jc w:val="center"/>
        <w:rPr>
          <w:rFonts w:ascii="Garamond" w:hAnsi="Garamond" w:cstheme="minorHAnsi"/>
        </w:rPr>
      </w:pPr>
      <w:r w:rsidRPr="000A1564">
        <w:rPr>
          <w:rFonts w:ascii="Garamond" w:hAnsi="Garamond" w:cstheme="minorHAnsi"/>
        </w:rPr>
        <w:t>(</w:t>
      </w:r>
      <w:r w:rsidR="00C270A3" w:rsidRPr="000A1564">
        <w:rPr>
          <w:rFonts w:ascii="Garamond" w:hAnsi="Garamond" w:cstheme="minorHAnsi"/>
        </w:rPr>
        <w:t>moszbatimi ose vonesa n</w:t>
      </w:r>
      <w:r w:rsidR="002271A8" w:rsidRPr="000A1564">
        <w:rPr>
          <w:rFonts w:ascii="Garamond" w:hAnsi="Garamond" w:cstheme="minorHAnsi"/>
        </w:rPr>
        <w:t>ë</w:t>
      </w:r>
      <w:r w:rsidR="00C270A3" w:rsidRPr="000A1564">
        <w:rPr>
          <w:rFonts w:ascii="Garamond" w:hAnsi="Garamond" w:cstheme="minorHAnsi"/>
        </w:rPr>
        <w:t xml:space="preserve"> zbatimin e vendimeve t</w:t>
      </w:r>
      <w:r w:rsidR="002271A8" w:rsidRPr="000A1564">
        <w:rPr>
          <w:rFonts w:ascii="Garamond" w:hAnsi="Garamond" w:cstheme="minorHAnsi"/>
        </w:rPr>
        <w:t>ë</w:t>
      </w:r>
      <w:r w:rsidR="00C270A3" w:rsidRPr="000A1564">
        <w:rPr>
          <w:rFonts w:ascii="Garamond" w:hAnsi="Garamond" w:cstheme="minorHAnsi"/>
        </w:rPr>
        <w:t xml:space="preserve"> brendshme</w:t>
      </w:r>
      <w:r w:rsidRPr="000A1564">
        <w:rPr>
          <w:rFonts w:ascii="Garamond" w:hAnsi="Garamond" w:cstheme="minorHAnsi"/>
        </w:rPr>
        <w:t>)</w:t>
      </w:r>
    </w:p>
    <w:tbl>
      <w:tblPr>
        <w:tblStyle w:val="TableGrid"/>
        <w:tblW w:w="7920" w:type="dxa"/>
        <w:jc w:val="center"/>
        <w:tblLook w:val="04A0" w:firstRow="1" w:lastRow="0" w:firstColumn="1" w:lastColumn="0" w:noHBand="0" w:noVBand="1"/>
      </w:tblPr>
      <w:tblGrid>
        <w:gridCol w:w="1690"/>
        <w:gridCol w:w="1297"/>
        <w:gridCol w:w="1429"/>
        <w:gridCol w:w="1402"/>
        <w:gridCol w:w="2102"/>
      </w:tblGrid>
      <w:tr w:rsidR="00C270A3" w:rsidRPr="000A1564" w14:paraId="063F0E52" w14:textId="77777777" w:rsidTr="00E66060">
        <w:trPr>
          <w:jc w:val="center"/>
        </w:trPr>
        <w:tc>
          <w:tcPr>
            <w:tcW w:w="1690" w:type="dxa"/>
          </w:tcPr>
          <w:p w14:paraId="69F2614D" w14:textId="77777777" w:rsidR="00C270A3" w:rsidRPr="000A1564" w:rsidRDefault="00C270A3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 xml:space="preserve">Kërkesa nr. </w:t>
            </w:r>
          </w:p>
          <w:p w14:paraId="128BC89A" w14:textId="77777777" w:rsidR="00C270A3" w:rsidRPr="000A1564" w:rsidRDefault="00C270A3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 xml:space="preserve">Data e paraqitjes </w:t>
            </w:r>
          </w:p>
        </w:tc>
        <w:tc>
          <w:tcPr>
            <w:tcW w:w="1297" w:type="dxa"/>
          </w:tcPr>
          <w:p w14:paraId="179B7891" w14:textId="77777777" w:rsidR="00C270A3" w:rsidRPr="000A1564" w:rsidRDefault="00C270A3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 xml:space="preserve">Emri i kërkuesit </w:t>
            </w:r>
          </w:p>
          <w:p w14:paraId="426D0421" w14:textId="77777777" w:rsidR="00C270A3" w:rsidRPr="000A1564" w:rsidRDefault="00C270A3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Viti i lindjes</w:t>
            </w:r>
          </w:p>
        </w:tc>
        <w:tc>
          <w:tcPr>
            <w:tcW w:w="1429" w:type="dxa"/>
          </w:tcPr>
          <w:p w14:paraId="6858C650" w14:textId="62398A28" w:rsidR="00C270A3" w:rsidRPr="000A1564" w:rsidRDefault="00C270A3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Emri dhe adresa e p</w:t>
            </w:r>
            <w:r w:rsidR="002271A8" w:rsidRPr="000A1564">
              <w:rPr>
                <w:rFonts w:ascii="Garamond" w:hAnsi="Garamond"/>
              </w:rPr>
              <w:t>ë</w:t>
            </w:r>
            <w:r w:rsidRPr="000A1564">
              <w:rPr>
                <w:rFonts w:ascii="Garamond" w:hAnsi="Garamond"/>
              </w:rPr>
              <w:t>rfaq</w:t>
            </w:r>
            <w:r w:rsidR="002271A8" w:rsidRPr="000A1564">
              <w:rPr>
                <w:rFonts w:ascii="Garamond" w:hAnsi="Garamond"/>
              </w:rPr>
              <w:t>ë</w:t>
            </w:r>
            <w:r w:rsidRPr="000A1564">
              <w:rPr>
                <w:rFonts w:ascii="Garamond" w:hAnsi="Garamond"/>
              </w:rPr>
              <w:t>suesit</w:t>
            </w:r>
          </w:p>
        </w:tc>
        <w:tc>
          <w:tcPr>
            <w:tcW w:w="1402" w:type="dxa"/>
          </w:tcPr>
          <w:p w14:paraId="6B443B54" w14:textId="6769FE97" w:rsidR="00C270A3" w:rsidRPr="000A1564" w:rsidRDefault="00C270A3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Data e marrjes së deklaratave të Qeverisë</w:t>
            </w:r>
          </w:p>
        </w:tc>
        <w:tc>
          <w:tcPr>
            <w:tcW w:w="2102" w:type="dxa"/>
          </w:tcPr>
          <w:p w14:paraId="22FAD97F" w14:textId="34AEA785" w:rsidR="00C270A3" w:rsidRPr="000A1564" w:rsidRDefault="00C270A3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Shuma e dhënë për dëmin jopasuror dhe kostot dhe shpenzimet për kërkues</w:t>
            </w:r>
          </w:p>
          <w:p w14:paraId="5C355D09" w14:textId="2008C33B" w:rsidR="00C270A3" w:rsidRPr="000A1564" w:rsidRDefault="00C270A3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(në euro)</w:t>
            </w:r>
            <w:r w:rsidRPr="000A1564">
              <w:rPr>
                <w:rStyle w:val="FootnoteReference"/>
                <w:rFonts w:ascii="Garamond" w:hAnsi="Garamond"/>
              </w:rPr>
              <w:footnoteReference w:id="2"/>
            </w:r>
          </w:p>
        </w:tc>
      </w:tr>
      <w:tr w:rsidR="00C270A3" w:rsidRPr="000A1564" w14:paraId="2A4912E8" w14:textId="77777777" w:rsidTr="00E66060">
        <w:trPr>
          <w:jc w:val="center"/>
        </w:trPr>
        <w:tc>
          <w:tcPr>
            <w:tcW w:w="1690" w:type="dxa"/>
          </w:tcPr>
          <w:p w14:paraId="694DEDB0" w14:textId="77777777" w:rsidR="00C270A3" w:rsidRPr="000A1564" w:rsidRDefault="002271A8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945/16</w:t>
            </w:r>
          </w:p>
          <w:p w14:paraId="0F23AE4B" w14:textId="7DA13BD0" w:rsidR="002271A8" w:rsidRPr="000A1564" w:rsidRDefault="002271A8" w:rsidP="006055D1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18</w:t>
            </w:r>
            <w:r w:rsidR="006055D1">
              <w:rPr>
                <w:rFonts w:ascii="Garamond" w:hAnsi="Garamond"/>
              </w:rPr>
              <w:t>.</w:t>
            </w:r>
            <w:r w:rsidRPr="000A1564">
              <w:rPr>
                <w:rFonts w:ascii="Garamond" w:hAnsi="Garamond"/>
              </w:rPr>
              <w:t>12</w:t>
            </w:r>
            <w:r w:rsidR="006055D1">
              <w:rPr>
                <w:rFonts w:ascii="Garamond" w:hAnsi="Garamond"/>
              </w:rPr>
              <w:t>.</w:t>
            </w:r>
            <w:r w:rsidRPr="000A1564">
              <w:rPr>
                <w:rFonts w:ascii="Garamond" w:hAnsi="Garamond"/>
              </w:rPr>
              <w:t>2015</w:t>
            </w:r>
          </w:p>
        </w:tc>
        <w:tc>
          <w:tcPr>
            <w:tcW w:w="1297" w:type="dxa"/>
          </w:tcPr>
          <w:p w14:paraId="74D95FC0" w14:textId="77777777" w:rsidR="00C270A3" w:rsidRPr="000A1564" w:rsidRDefault="002271A8" w:rsidP="00E66060">
            <w:pPr>
              <w:pStyle w:val="JuPara"/>
              <w:ind w:firstLine="0"/>
              <w:jc w:val="center"/>
              <w:rPr>
                <w:rFonts w:ascii="Garamond" w:hAnsi="Garamond"/>
                <w:b/>
              </w:rPr>
            </w:pPr>
            <w:r w:rsidRPr="000A1564">
              <w:rPr>
                <w:rFonts w:ascii="Garamond" w:hAnsi="Garamond"/>
                <w:b/>
              </w:rPr>
              <w:t>Petrit PONARI</w:t>
            </w:r>
          </w:p>
          <w:p w14:paraId="0D5BD43A" w14:textId="2CD799E4" w:rsidR="002271A8" w:rsidRPr="000A1564" w:rsidRDefault="002271A8" w:rsidP="00E66060">
            <w:pPr>
              <w:pStyle w:val="JuPara"/>
              <w:ind w:firstLine="0"/>
              <w:jc w:val="center"/>
              <w:rPr>
                <w:rFonts w:ascii="Garamond" w:hAnsi="Garamond"/>
                <w:bCs/>
              </w:rPr>
            </w:pPr>
            <w:r w:rsidRPr="000A1564">
              <w:rPr>
                <w:rFonts w:ascii="Garamond" w:hAnsi="Garamond"/>
                <w:bCs/>
              </w:rPr>
              <w:t>1963</w:t>
            </w:r>
          </w:p>
        </w:tc>
        <w:tc>
          <w:tcPr>
            <w:tcW w:w="1429" w:type="dxa"/>
          </w:tcPr>
          <w:p w14:paraId="47ED64E7" w14:textId="77777777" w:rsidR="00C270A3" w:rsidRPr="000A1564" w:rsidRDefault="002271A8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Peka Besim</w:t>
            </w:r>
          </w:p>
          <w:p w14:paraId="5736486E" w14:textId="516E2E01" w:rsidR="002271A8" w:rsidRPr="000A1564" w:rsidRDefault="002271A8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Tiranë</w:t>
            </w:r>
          </w:p>
        </w:tc>
        <w:tc>
          <w:tcPr>
            <w:tcW w:w="1402" w:type="dxa"/>
          </w:tcPr>
          <w:p w14:paraId="16E96D32" w14:textId="786ACFB1" w:rsidR="00C270A3" w:rsidRPr="000A1564" w:rsidRDefault="002271A8" w:rsidP="006055D1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5</w:t>
            </w:r>
            <w:r w:rsidR="006055D1">
              <w:rPr>
                <w:rFonts w:ascii="Garamond" w:hAnsi="Garamond"/>
              </w:rPr>
              <w:t>.</w:t>
            </w:r>
            <w:r w:rsidRPr="000A1564">
              <w:rPr>
                <w:rFonts w:ascii="Garamond" w:hAnsi="Garamond"/>
              </w:rPr>
              <w:t>10</w:t>
            </w:r>
            <w:r w:rsidR="006055D1">
              <w:rPr>
                <w:rFonts w:ascii="Garamond" w:hAnsi="Garamond"/>
              </w:rPr>
              <w:t>.</w:t>
            </w:r>
            <w:r w:rsidRPr="000A1564">
              <w:rPr>
                <w:rFonts w:ascii="Garamond" w:hAnsi="Garamond"/>
              </w:rPr>
              <w:t>2021</w:t>
            </w:r>
          </w:p>
        </w:tc>
        <w:tc>
          <w:tcPr>
            <w:tcW w:w="2102" w:type="dxa"/>
          </w:tcPr>
          <w:p w14:paraId="16C8A405" w14:textId="57B288CB" w:rsidR="00C270A3" w:rsidRPr="000A1564" w:rsidRDefault="00C270A3" w:rsidP="00E66060">
            <w:pPr>
              <w:pStyle w:val="JuPara"/>
              <w:ind w:firstLine="0"/>
              <w:jc w:val="center"/>
              <w:rPr>
                <w:rFonts w:ascii="Garamond" w:hAnsi="Garamond"/>
              </w:rPr>
            </w:pPr>
            <w:r w:rsidRPr="000A1564">
              <w:rPr>
                <w:rFonts w:ascii="Garamond" w:hAnsi="Garamond"/>
              </w:rPr>
              <w:t>2</w:t>
            </w:r>
            <w:r w:rsidR="002271A8" w:rsidRPr="000A1564">
              <w:rPr>
                <w:rFonts w:ascii="Garamond" w:hAnsi="Garamond"/>
              </w:rPr>
              <w:t>350</w:t>
            </w:r>
          </w:p>
        </w:tc>
      </w:tr>
    </w:tbl>
    <w:p w14:paraId="506725DF" w14:textId="77777777" w:rsidR="00CA48BE" w:rsidRPr="000A1564" w:rsidRDefault="00CA48BE" w:rsidP="005A7D71">
      <w:pPr>
        <w:pStyle w:val="JuPara"/>
        <w:spacing w:line="276" w:lineRule="auto"/>
        <w:jc w:val="center"/>
        <w:rPr>
          <w:rFonts w:ascii="Garamond" w:hAnsi="Garamond"/>
        </w:rPr>
      </w:pPr>
    </w:p>
    <w:p w14:paraId="00E951E2" w14:textId="4C859A72" w:rsidR="00CA48BE" w:rsidRPr="000A1564" w:rsidRDefault="00CA48BE" w:rsidP="005A7D71">
      <w:pPr>
        <w:pStyle w:val="JuPara"/>
        <w:spacing w:line="276" w:lineRule="auto"/>
        <w:rPr>
          <w:rFonts w:ascii="Garamond" w:hAnsi="Garamond"/>
        </w:rPr>
      </w:pPr>
    </w:p>
    <w:sectPr w:rsidR="00CA48BE" w:rsidRPr="000A1564" w:rsidSect="00E66060">
      <w:endnotePr>
        <w:numFmt w:val="decimal"/>
      </w:endnotePr>
      <w:pgSz w:w="11906" w:h="16838" w:code="9"/>
      <w:pgMar w:top="1418" w:right="1418" w:bottom="1418" w:left="1418" w:header="130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2DC5E" w14:textId="77777777" w:rsidR="00363E6B" w:rsidRPr="00DC2D95" w:rsidRDefault="00363E6B">
      <w:r w:rsidRPr="00DC2D95">
        <w:separator/>
      </w:r>
    </w:p>
  </w:endnote>
  <w:endnote w:type="continuationSeparator" w:id="0">
    <w:p w14:paraId="29CA4020" w14:textId="77777777" w:rsidR="00363E6B" w:rsidRPr="00DC2D95" w:rsidRDefault="00363E6B">
      <w:r w:rsidRPr="00DC2D95">
        <w:continuationSeparator/>
      </w:r>
    </w:p>
  </w:endnote>
  <w:endnote w:type="continuationNotice" w:id="1">
    <w:p w14:paraId="6CF87B98" w14:textId="77777777" w:rsidR="00363E6B" w:rsidRDefault="00363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FuturaStd-Book">
    <w:altName w:val="Century Gothic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D0DC1" w14:textId="77777777" w:rsidR="00363E6B" w:rsidRPr="00DC2D95" w:rsidRDefault="00363E6B">
      <w:r w:rsidRPr="00DC2D95">
        <w:separator/>
      </w:r>
    </w:p>
  </w:footnote>
  <w:footnote w:type="continuationSeparator" w:id="0">
    <w:p w14:paraId="245221FE" w14:textId="77777777" w:rsidR="00363E6B" w:rsidRPr="00DC2D95" w:rsidRDefault="00363E6B">
      <w:r w:rsidRPr="00DC2D95">
        <w:continuationSeparator/>
      </w:r>
    </w:p>
  </w:footnote>
  <w:footnote w:type="continuationNotice" w:id="1">
    <w:p w14:paraId="508F9BEE" w14:textId="77777777" w:rsidR="00363E6B" w:rsidRDefault="00363E6B"/>
  </w:footnote>
  <w:footnote w:id="2">
    <w:p w14:paraId="2024C2D1" w14:textId="77777777" w:rsidR="00363E6B" w:rsidRPr="006055D1" w:rsidRDefault="00363E6B" w:rsidP="00CA48BE">
      <w:pPr>
        <w:pStyle w:val="FootnoteText"/>
        <w:rPr>
          <w:rFonts w:ascii="Garamond" w:hAnsi="Garamond"/>
        </w:rPr>
      </w:pPr>
      <w:r w:rsidRPr="006055D1">
        <w:rPr>
          <w:rStyle w:val="FootnoteReference"/>
          <w:rFonts w:ascii="Garamond" w:hAnsi="Garamond"/>
        </w:rPr>
        <w:footnoteRef/>
      </w:r>
      <w:r w:rsidRPr="006055D1">
        <w:rPr>
          <w:rFonts w:ascii="Garamond" w:hAnsi="Garamond"/>
        </w:rPr>
        <w:t xml:space="preserve"> Plus çdo taksë që mund t’i tarifohet kërkuesit.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8F2261"/>
    <w:multiLevelType w:val="multilevel"/>
    <w:tmpl w:val="C8FE6436"/>
    <w:numStyleLink w:val="ECHRA1StyleList"/>
  </w:abstractNum>
  <w:abstractNum w:abstractNumId="10">
    <w:nsid w:val="06906F28"/>
    <w:multiLevelType w:val="hybridMultilevel"/>
    <w:tmpl w:val="9FB8ECA0"/>
    <w:lvl w:ilvl="0" w:tplc="DA765B4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C0F5BFC"/>
    <w:multiLevelType w:val="multilevel"/>
    <w:tmpl w:val="79FEA660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2">
    <w:nsid w:val="150A561F"/>
    <w:multiLevelType w:val="hybridMultilevel"/>
    <w:tmpl w:val="5AA62832"/>
    <w:lvl w:ilvl="0" w:tplc="49CEC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B6A59FE"/>
    <w:multiLevelType w:val="hybridMultilevel"/>
    <w:tmpl w:val="61AA1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A4DBE"/>
    <w:multiLevelType w:val="hybridMultilevel"/>
    <w:tmpl w:val="EE90C8E4"/>
    <w:lvl w:ilvl="0" w:tplc="972C1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04A6243"/>
    <w:multiLevelType w:val="hybridMultilevel"/>
    <w:tmpl w:val="F0CC71C2"/>
    <w:lvl w:ilvl="0" w:tplc="0D9EBF8C">
      <w:start w:val="1"/>
      <w:numFmt w:val="lowerLetter"/>
      <w:lvlText w:val="(%1)"/>
      <w:lvlJc w:val="left"/>
      <w:pPr>
        <w:ind w:left="644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2233E37"/>
    <w:multiLevelType w:val="hybridMultilevel"/>
    <w:tmpl w:val="837C8C46"/>
    <w:lvl w:ilvl="0" w:tplc="8FF04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CB51E06"/>
    <w:multiLevelType w:val="hybridMultilevel"/>
    <w:tmpl w:val="B128E5A0"/>
    <w:lvl w:ilvl="0" w:tplc="38E63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696EB6"/>
    <w:multiLevelType w:val="hybridMultilevel"/>
    <w:tmpl w:val="E2AED25E"/>
    <w:lvl w:ilvl="0" w:tplc="8D04415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24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25">
    <w:nsid w:val="52247AF7"/>
    <w:multiLevelType w:val="hybridMultilevel"/>
    <w:tmpl w:val="61DE0A3C"/>
    <w:lvl w:ilvl="0" w:tplc="676649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7982584"/>
    <w:multiLevelType w:val="hybridMultilevel"/>
    <w:tmpl w:val="21E6E4A2"/>
    <w:lvl w:ilvl="0" w:tplc="49D250F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76CA0262"/>
    <w:multiLevelType w:val="hybridMultilevel"/>
    <w:tmpl w:val="8ED62104"/>
    <w:lvl w:ilvl="0" w:tplc="0E7E601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23"/>
  </w:num>
  <w:num w:numId="5">
    <w:abstractNumId w:val="19"/>
  </w:num>
  <w:num w:numId="6">
    <w:abstractNumId w:val="24"/>
  </w:num>
  <w:num w:numId="7">
    <w:abstractNumId w:val="23"/>
  </w:num>
  <w:num w:numId="8">
    <w:abstractNumId w:val="24"/>
  </w:num>
  <w:num w:numId="9">
    <w:abstractNumId w:val="11"/>
  </w:num>
  <w:num w:numId="10">
    <w:abstractNumId w:val="9"/>
  </w:num>
  <w:num w:numId="11">
    <w:abstractNumId w:val="27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0"/>
  </w:num>
  <w:num w:numId="23">
    <w:abstractNumId w:val="18"/>
  </w:num>
  <w:num w:numId="24">
    <w:abstractNumId w:val="25"/>
  </w:num>
  <w:num w:numId="25">
    <w:abstractNumId w:val="28"/>
  </w:num>
  <w:num w:numId="26">
    <w:abstractNumId w:val="15"/>
  </w:num>
  <w:num w:numId="27">
    <w:abstractNumId w:val="12"/>
  </w:num>
  <w:num w:numId="28">
    <w:abstractNumId w:val="20"/>
  </w:num>
  <w:num w:numId="29">
    <w:abstractNumId w:val="26"/>
  </w:num>
  <w:num w:numId="30">
    <w:abstractNumId w:val="17"/>
  </w:num>
  <w:num w:numId="3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sApp" w:val="3"/>
    <w:docVar w:name="EMM" w:val="0"/>
    <w:docVar w:name="NBEMMDOC" w:val="0"/>
  </w:docVars>
  <w:rsids>
    <w:rsidRoot w:val="00DC2D95"/>
    <w:rsid w:val="00052D03"/>
    <w:rsid w:val="0005568E"/>
    <w:rsid w:val="000658B1"/>
    <w:rsid w:val="00081483"/>
    <w:rsid w:val="00095FD8"/>
    <w:rsid w:val="000A1564"/>
    <w:rsid w:val="000A5327"/>
    <w:rsid w:val="000A7592"/>
    <w:rsid w:val="000B1FA9"/>
    <w:rsid w:val="000C5DB6"/>
    <w:rsid w:val="000D0E41"/>
    <w:rsid w:val="000D61E7"/>
    <w:rsid w:val="000E3A89"/>
    <w:rsid w:val="000E49E4"/>
    <w:rsid w:val="000F4E59"/>
    <w:rsid w:val="00110204"/>
    <w:rsid w:val="0012779B"/>
    <w:rsid w:val="00131C8D"/>
    <w:rsid w:val="00132029"/>
    <w:rsid w:val="00140264"/>
    <w:rsid w:val="001429D6"/>
    <w:rsid w:val="001540CF"/>
    <w:rsid w:val="001745CA"/>
    <w:rsid w:val="00174974"/>
    <w:rsid w:val="00180553"/>
    <w:rsid w:val="00197F33"/>
    <w:rsid w:val="001D1233"/>
    <w:rsid w:val="001E5E02"/>
    <w:rsid w:val="00216F37"/>
    <w:rsid w:val="00223591"/>
    <w:rsid w:val="00224D56"/>
    <w:rsid w:val="002271A8"/>
    <w:rsid w:val="002434AF"/>
    <w:rsid w:val="0026446B"/>
    <w:rsid w:val="00275766"/>
    <w:rsid w:val="00280FD1"/>
    <w:rsid w:val="002A08EC"/>
    <w:rsid w:val="002A1D67"/>
    <w:rsid w:val="002A7085"/>
    <w:rsid w:val="002A7443"/>
    <w:rsid w:val="002A7AE3"/>
    <w:rsid w:val="002E615E"/>
    <w:rsid w:val="002F5401"/>
    <w:rsid w:val="002F6C2B"/>
    <w:rsid w:val="00301F07"/>
    <w:rsid w:val="00310AD6"/>
    <w:rsid w:val="003142C5"/>
    <w:rsid w:val="003325A4"/>
    <w:rsid w:val="003342C4"/>
    <w:rsid w:val="00334317"/>
    <w:rsid w:val="0033484D"/>
    <w:rsid w:val="00335D4B"/>
    <w:rsid w:val="00344D46"/>
    <w:rsid w:val="00361D0C"/>
    <w:rsid w:val="00363E6B"/>
    <w:rsid w:val="003753E5"/>
    <w:rsid w:val="00380971"/>
    <w:rsid w:val="0039350D"/>
    <w:rsid w:val="003B50D7"/>
    <w:rsid w:val="003B77AA"/>
    <w:rsid w:val="003C2361"/>
    <w:rsid w:val="003C3468"/>
    <w:rsid w:val="003C6A39"/>
    <w:rsid w:val="003D54EF"/>
    <w:rsid w:val="003E3C60"/>
    <w:rsid w:val="003F60CE"/>
    <w:rsid w:val="004324C6"/>
    <w:rsid w:val="00452087"/>
    <w:rsid w:val="00456012"/>
    <w:rsid w:val="004576F3"/>
    <w:rsid w:val="00464268"/>
    <w:rsid w:val="00483A30"/>
    <w:rsid w:val="004A4C71"/>
    <w:rsid w:val="004B0190"/>
    <w:rsid w:val="004B3C8D"/>
    <w:rsid w:val="004B4B60"/>
    <w:rsid w:val="004B4E73"/>
    <w:rsid w:val="0052097D"/>
    <w:rsid w:val="00524A3B"/>
    <w:rsid w:val="00567561"/>
    <w:rsid w:val="00575841"/>
    <w:rsid w:val="00595F91"/>
    <w:rsid w:val="00597374"/>
    <w:rsid w:val="005A0CD3"/>
    <w:rsid w:val="005A4646"/>
    <w:rsid w:val="005A7CF3"/>
    <w:rsid w:val="005A7D71"/>
    <w:rsid w:val="005B0669"/>
    <w:rsid w:val="005B2592"/>
    <w:rsid w:val="005B546C"/>
    <w:rsid w:val="005C337E"/>
    <w:rsid w:val="005E56C2"/>
    <w:rsid w:val="005F11CB"/>
    <w:rsid w:val="005F5E05"/>
    <w:rsid w:val="006055D1"/>
    <w:rsid w:val="006146F9"/>
    <w:rsid w:val="006262FA"/>
    <w:rsid w:val="006267D3"/>
    <w:rsid w:val="006300E9"/>
    <w:rsid w:val="00644F14"/>
    <w:rsid w:val="00647CBC"/>
    <w:rsid w:val="00651A01"/>
    <w:rsid w:val="00653EF4"/>
    <w:rsid w:val="00656B81"/>
    <w:rsid w:val="00687739"/>
    <w:rsid w:val="00695994"/>
    <w:rsid w:val="006962D8"/>
    <w:rsid w:val="006D24ED"/>
    <w:rsid w:val="006D2A07"/>
    <w:rsid w:val="006D4D63"/>
    <w:rsid w:val="006E123B"/>
    <w:rsid w:val="007040EB"/>
    <w:rsid w:val="00723E48"/>
    <w:rsid w:val="00723E56"/>
    <w:rsid w:val="007369F9"/>
    <w:rsid w:val="007400AE"/>
    <w:rsid w:val="00741884"/>
    <w:rsid w:val="007464F1"/>
    <w:rsid w:val="007907C0"/>
    <w:rsid w:val="0079386B"/>
    <w:rsid w:val="007A798F"/>
    <w:rsid w:val="007B2364"/>
    <w:rsid w:val="007C14DC"/>
    <w:rsid w:val="007D3C54"/>
    <w:rsid w:val="007E2771"/>
    <w:rsid w:val="00805E99"/>
    <w:rsid w:val="00812D10"/>
    <w:rsid w:val="00821DFB"/>
    <w:rsid w:val="00833D10"/>
    <w:rsid w:val="008531A6"/>
    <w:rsid w:val="008615BB"/>
    <w:rsid w:val="008662EF"/>
    <w:rsid w:val="00881BB1"/>
    <w:rsid w:val="00886EC9"/>
    <w:rsid w:val="008D10E4"/>
    <w:rsid w:val="008F0A92"/>
    <w:rsid w:val="008F2916"/>
    <w:rsid w:val="008F7189"/>
    <w:rsid w:val="00904E3D"/>
    <w:rsid w:val="009241DF"/>
    <w:rsid w:val="0094237C"/>
    <w:rsid w:val="00944250"/>
    <w:rsid w:val="00946A19"/>
    <w:rsid w:val="00956B2A"/>
    <w:rsid w:val="0096293E"/>
    <w:rsid w:val="009656DE"/>
    <w:rsid w:val="009838D4"/>
    <w:rsid w:val="0098480A"/>
    <w:rsid w:val="0099243C"/>
    <w:rsid w:val="00997477"/>
    <w:rsid w:val="009A767D"/>
    <w:rsid w:val="009B644E"/>
    <w:rsid w:val="009B6F49"/>
    <w:rsid w:val="009C21E8"/>
    <w:rsid w:val="009C440C"/>
    <w:rsid w:val="009D35EF"/>
    <w:rsid w:val="009E01FB"/>
    <w:rsid w:val="009F4D41"/>
    <w:rsid w:val="00A13FE9"/>
    <w:rsid w:val="00A1409C"/>
    <w:rsid w:val="00A24349"/>
    <w:rsid w:val="00A248DD"/>
    <w:rsid w:val="00A250DB"/>
    <w:rsid w:val="00A47B79"/>
    <w:rsid w:val="00A47FE1"/>
    <w:rsid w:val="00A61644"/>
    <w:rsid w:val="00A744B8"/>
    <w:rsid w:val="00AA5AEE"/>
    <w:rsid w:val="00AC58E5"/>
    <w:rsid w:val="00AD1811"/>
    <w:rsid w:val="00AD334D"/>
    <w:rsid w:val="00AD69B3"/>
    <w:rsid w:val="00AE1539"/>
    <w:rsid w:val="00AE6116"/>
    <w:rsid w:val="00B06BB9"/>
    <w:rsid w:val="00B10CDB"/>
    <w:rsid w:val="00B140D3"/>
    <w:rsid w:val="00B24865"/>
    <w:rsid w:val="00B32955"/>
    <w:rsid w:val="00B342D1"/>
    <w:rsid w:val="00B52949"/>
    <w:rsid w:val="00B60352"/>
    <w:rsid w:val="00B61689"/>
    <w:rsid w:val="00B6544B"/>
    <w:rsid w:val="00B96F3E"/>
    <w:rsid w:val="00BC4A12"/>
    <w:rsid w:val="00BD1692"/>
    <w:rsid w:val="00BE6A4D"/>
    <w:rsid w:val="00C270A3"/>
    <w:rsid w:val="00C42C12"/>
    <w:rsid w:val="00C533AB"/>
    <w:rsid w:val="00C57DB6"/>
    <w:rsid w:val="00C64222"/>
    <w:rsid w:val="00C6630D"/>
    <w:rsid w:val="00C84BD0"/>
    <w:rsid w:val="00C90243"/>
    <w:rsid w:val="00C94FFB"/>
    <w:rsid w:val="00CA48BE"/>
    <w:rsid w:val="00CA7EB6"/>
    <w:rsid w:val="00CB5239"/>
    <w:rsid w:val="00CC2615"/>
    <w:rsid w:val="00CD1C43"/>
    <w:rsid w:val="00CD1DE6"/>
    <w:rsid w:val="00CE65D7"/>
    <w:rsid w:val="00CE788D"/>
    <w:rsid w:val="00CF6E07"/>
    <w:rsid w:val="00D35F5D"/>
    <w:rsid w:val="00D415D6"/>
    <w:rsid w:val="00D47A3C"/>
    <w:rsid w:val="00D7197D"/>
    <w:rsid w:val="00D81050"/>
    <w:rsid w:val="00D837F4"/>
    <w:rsid w:val="00D92F25"/>
    <w:rsid w:val="00DB56E2"/>
    <w:rsid w:val="00DB6354"/>
    <w:rsid w:val="00DC2D95"/>
    <w:rsid w:val="00DD6561"/>
    <w:rsid w:val="00DE43D3"/>
    <w:rsid w:val="00DF21A8"/>
    <w:rsid w:val="00E078C3"/>
    <w:rsid w:val="00E212B9"/>
    <w:rsid w:val="00E2551F"/>
    <w:rsid w:val="00E5464B"/>
    <w:rsid w:val="00E66060"/>
    <w:rsid w:val="00E66C4F"/>
    <w:rsid w:val="00E7380C"/>
    <w:rsid w:val="00E75CE5"/>
    <w:rsid w:val="00E90DC9"/>
    <w:rsid w:val="00EA5ED3"/>
    <w:rsid w:val="00EE206F"/>
    <w:rsid w:val="00EE38CA"/>
    <w:rsid w:val="00EF1B80"/>
    <w:rsid w:val="00EF4A6A"/>
    <w:rsid w:val="00F06309"/>
    <w:rsid w:val="00F24642"/>
    <w:rsid w:val="00F24AB9"/>
    <w:rsid w:val="00F30C8E"/>
    <w:rsid w:val="00F479AC"/>
    <w:rsid w:val="00F8532D"/>
    <w:rsid w:val="00F90CCF"/>
    <w:rsid w:val="00FB5F13"/>
    <w:rsid w:val="00FD49A7"/>
    <w:rsid w:val="00FE7F0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7E8F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99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99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01">
    <w:name w:val="fontstyle01"/>
    <w:basedOn w:val="DefaultParagraphFont"/>
    <w:rsid w:val="00AE1539"/>
    <w:rPr>
      <w:rFonts w:ascii="FuturaStd-Book" w:hAnsi="FuturaStd-Book" w:hint="default"/>
      <w:b w:val="0"/>
      <w:bCs w:val="0"/>
      <w:i w:val="0"/>
      <w:iCs w:val="0"/>
      <w:color w:val="24202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5" w:qFormat="1"/>
    <w:lsdException w:name="heading 7" w:qFormat="1"/>
    <w:lsdException w:name="heading 8" w:qFormat="1"/>
    <w:lsdException w:name="heading 9" w:qFormat="1"/>
    <w:lsdException w:name="header" w:uiPriority="99"/>
    <w:lsdException w:name="caption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semiHidden/>
    <w:rsid w:val="006D2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rsid w:val="006D24E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6D24E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6D24E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6D24E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6D24E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6D24E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6D24ED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6D24ED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6D24E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6D24ED"/>
    <w:pPr>
      <w:tabs>
        <w:tab w:val="center" w:pos="851"/>
        <w:tab w:val="center" w:pos="6407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6D24ED"/>
    <w:pPr>
      <w:ind w:firstLine="284"/>
    </w:pPr>
  </w:style>
  <w:style w:type="character" w:styleId="PageNumber">
    <w:name w:val="page number"/>
    <w:uiPriority w:val="98"/>
    <w:semiHidden/>
    <w:rsid w:val="006D24ED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6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6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6D24ED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99"/>
    <w:qFormat/>
    <w:rsid w:val="006D24ED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6D24ED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6D24ED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6D24ED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rsid w:val="006D2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ED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6D24ED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6D24ED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6D24ED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6D24ED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6D24ED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6D24ED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6D24ED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6D24ED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6D24ED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6D24ED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6D24ED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6D24ED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6D24ED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6D24ED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6D24ED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6D24ED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6D24ED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rsid w:val="006D24ED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6D24ED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6D24ED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6D24ED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6D24ED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6D24ED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6D24ED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6D24ED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6D24ED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6D24E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6D24ED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6D24ED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6D24ED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6D24ED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qFormat/>
    <w:rsid w:val="006D24ED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6D24ED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6D24ED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6D24ED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6D24ED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6D24ED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6D24ED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6D24ED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6D24ED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qFormat/>
    <w:rsid w:val="006D24E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rsid w:val="006D24ED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qFormat/>
    <w:rsid w:val="006D24ED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rsid w:val="006D24ED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qFormat/>
    <w:rsid w:val="006D24ED"/>
    <w:rPr>
      <w:b/>
      <w:bCs/>
    </w:rPr>
  </w:style>
  <w:style w:type="character" w:styleId="Emphasis">
    <w:name w:val="Emphasis"/>
    <w:uiPriority w:val="98"/>
    <w:qFormat/>
    <w:rsid w:val="006D24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6D24ED"/>
  </w:style>
  <w:style w:type="character" w:customStyle="1" w:styleId="NoSpacingChar">
    <w:name w:val="No Spacing Char"/>
    <w:basedOn w:val="DefaultParagraphFont"/>
    <w:link w:val="NoSpacing"/>
    <w:uiPriority w:val="98"/>
    <w:rsid w:val="006D24ED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qFormat/>
    <w:rsid w:val="006D2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qFormat/>
    <w:rsid w:val="006D24ED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rsid w:val="006D24ED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6D24E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6D24ED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qFormat/>
    <w:rsid w:val="006D24ED"/>
    <w:rPr>
      <w:i/>
      <w:iCs/>
    </w:rPr>
  </w:style>
  <w:style w:type="character" w:styleId="IntenseEmphasis">
    <w:name w:val="Intense Emphasis"/>
    <w:uiPriority w:val="98"/>
    <w:qFormat/>
    <w:rsid w:val="006D24ED"/>
    <w:rPr>
      <w:b/>
      <w:bCs/>
    </w:rPr>
  </w:style>
  <w:style w:type="character" w:styleId="SubtleReference">
    <w:name w:val="Subtle Reference"/>
    <w:uiPriority w:val="98"/>
    <w:qFormat/>
    <w:rsid w:val="006D24ED"/>
    <w:rPr>
      <w:smallCaps/>
    </w:rPr>
  </w:style>
  <w:style w:type="character" w:styleId="IntenseReference">
    <w:name w:val="Intense Reference"/>
    <w:uiPriority w:val="98"/>
    <w:qFormat/>
    <w:rsid w:val="006D24ED"/>
    <w:rPr>
      <w:smallCaps/>
      <w:spacing w:val="5"/>
      <w:u w:val="single"/>
    </w:rPr>
  </w:style>
  <w:style w:type="character" w:styleId="BookTitle">
    <w:name w:val="Book Title"/>
    <w:uiPriority w:val="98"/>
    <w:qFormat/>
    <w:rsid w:val="006D24ED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6D24ED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24ED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D24ED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6D24ED"/>
  </w:style>
  <w:style w:type="paragraph" w:styleId="BlockText">
    <w:name w:val="Block Text"/>
    <w:basedOn w:val="Normal"/>
    <w:uiPriority w:val="98"/>
    <w:semiHidden/>
    <w:rsid w:val="006D24E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6D24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6D24ED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6D24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6D24ED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6D24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6D24ED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6D24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6D24ED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6D24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6D24ED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6D24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6D24ED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6D24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6D24ED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6D24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6D24ED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6D24E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6D24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6D24ED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6D2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6D24ED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6D24ED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6D24ED"/>
  </w:style>
  <w:style w:type="character" w:customStyle="1" w:styleId="DateChar">
    <w:name w:val="Date Char"/>
    <w:basedOn w:val="DefaultParagraphFont"/>
    <w:link w:val="Date"/>
    <w:uiPriority w:val="98"/>
    <w:semiHidden/>
    <w:rsid w:val="006D24ED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6D24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D24ED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6D24E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6D24ED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6D24ED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6D24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6D24ED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6D24E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6D24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6D24ED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6D24ED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6D24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6D24ED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6D24ED"/>
  </w:style>
  <w:style w:type="paragraph" w:styleId="HTMLAddress">
    <w:name w:val="HTML Address"/>
    <w:basedOn w:val="Normal"/>
    <w:link w:val="HTMLAddressChar"/>
    <w:uiPriority w:val="98"/>
    <w:semiHidden/>
    <w:rsid w:val="006D24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6D24ED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6D24ED"/>
    <w:rPr>
      <w:i/>
      <w:iCs/>
    </w:rPr>
  </w:style>
  <w:style w:type="character" w:styleId="HTMLCode">
    <w:name w:val="HTML Code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6D24ED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6D24ED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6D24E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6D24E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6D24ED"/>
    <w:rPr>
      <w:i/>
      <w:iCs/>
    </w:rPr>
  </w:style>
  <w:style w:type="character" w:styleId="Hyperlink">
    <w:name w:val="Hyperlink"/>
    <w:basedOn w:val="DefaultParagraphFont"/>
    <w:uiPriority w:val="98"/>
    <w:rsid w:val="006D24ED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6D24ED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6D24ED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6D24ED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6D24ED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6D24ED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6D24ED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6D24ED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6D24ED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6D24ED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6D24E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6D24ED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6D24ED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6D24ED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6D24ED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6D24ED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6D24ED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6D24ED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6D24ED"/>
  </w:style>
  <w:style w:type="paragraph" w:styleId="List">
    <w:name w:val="List"/>
    <w:basedOn w:val="Normal"/>
    <w:uiPriority w:val="98"/>
    <w:semiHidden/>
    <w:rsid w:val="006D24ED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6D24ED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6D24ED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6D24ED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6D24ED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6D24ED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6D24ED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6D24ED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6D24ED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6D24ED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6D24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6D24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6D24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6D24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6D24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6D24ED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6D24ED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6D24ED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6D24ED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6D24ED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6D2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6D24E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6D24ED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6D24ED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6D24ED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6D2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6D24ED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6D24E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6D24ED"/>
    <w:pPr>
      <w:ind w:left="720"/>
    </w:pPr>
  </w:style>
  <w:style w:type="table" w:customStyle="1" w:styleId="ECHRTableNoLines">
    <w:name w:val="ECHR_Table_No_Lines"/>
    <w:basedOn w:val="TableNormal"/>
    <w:uiPriority w:val="99"/>
    <w:rsid w:val="006D24ED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6D24ED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6D24ED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6D24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6D24ED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6D24ED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6D24ED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6D24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6D24ED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24ED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24ED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24E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24ED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6D24ED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6D24ED"/>
  </w:style>
  <w:style w:type="table" w:styleId="TableProfessional">
    <w:name w:val="Table Professional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24ED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6D24ED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6D24ED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6D24E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6D24E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6D24ED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6D24ED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rsid w:val="006D24ED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rsid w:val="006D24ED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6D24ED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6D24ED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6D24ED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6D24ED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rsid w:val="006D24ED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qFormat/>
    <w:rsid w:val="006D24ED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rsid w:val="006D24ED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rsid w:val="006D24ED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rsid w:val="006D24ED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qFormat/>
    <w:rsid w:val="006D24ED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6D24ED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qFormat/>
    <w:rsid w:val="006D24ED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rsid w:val="006D24ED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rsid w:val="006D24ED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qFormat/>
    <w:rsid w:val="006D24ED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6D24ED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rsid w:val="006D24ED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rsid w:val="006D24ED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qFormat/>
    <w:rsid w:val="006D24ED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rsid w:val="006D24ED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rsid w:val="006D24ED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qFormat/>
    <w:rsid w:val="006D24ED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qFormat/>
    <w:rsid w:val="006D24ED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qFormat/>
    <w:rsid w:val="006D24ED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6D24ED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6D24E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6D24ED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6D24ED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qFormat/>
    <w:rsid w:val="006D24ED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qFormat/>
    <w:rsid w:val="006D24ED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qFormat/>
    <w:rsid w:val="006D24ED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qFormat/>
    <w:rsid w:val="006D24ED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6D24ED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6D24ED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6D24ED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6D24ED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6D24ED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rsid w:val="006D24ED"/>
    <w:rPr>
      <w:sz w:val="4"/>
    </w:rPr>
  </w:style>
  <w:style w:type="table" w:customStyle="1" w:styleId="ECHRTableGrey">
    <w:name w:val="ECHR_Table_Grey"/>
    <w:basedOn w:val="TableNormal"/>
    <w:uiPriority w:val="99"/>
    <w:rsid w:val="006D24ED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6D24ED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DC2D95"/>
    <w:rPr>
      <w:sz w:val="24"/>
      <w:szCs w:val="24"/>
      <w:lang w:val="sq-AL"/>
    </w:rPr>
  </w:style>
  <w:style w:type="table" w:customStyle="1" w:styleId="GridTable1Light1">
    <w:name w:val="Grid Table 1 Light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HRListTable2">
    <w:name w:val="ECHR_List_Table2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GridTable1Light-Accent11">
    <w:name w:val="Grid Table 1 Light - Accent 1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CHRA1StyleBulletedSquare1">
    <w:name w:val="ECHR_A1_Style_Bulleted_Square1"/>
    <w:basedOn w:val="NoList"/>
    <w:rsid w:val="00DC2D95"/>
  </w:style>
  <w:style w:type="numbering" w:customStyle="1" w:styleId="ECHRA1StyleNumberedList1">
    <w:name w:val="ECHR_A1_Style_Numbered_List1"/>
    <w:basedOn w:val="NoList"/>
    <w:rsid w:val="00DC2D95"/>
  </w:style>
  <w:style w:type="table" w:customStyle="1" w:styleId="ECHRDNTable1">
    <w:name w:val="ECHR_DN_Table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">
    <w:name w:val="ECHR_Header_Table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">
    <w:name w:val="ECHR_Header_Table_Reduced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">
    <w:name w:val="ECHR_List_Table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">
    <w:name w:val="ECHR_Table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">
    <w:name w:val="ECHR_Table_Box_Header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1">
    <w:name w:val="ECHR_Table_Fax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">
    <w:name w:val="ECHR_Table_For_Internal_Use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">
    <w:name w:val="ECHR_Table_Memo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">
    <w:name w:val="ECHR_Table_No_Lines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">
    <w:name w:val="ECHR_Table_Odd_Banded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">
    <w:name w:val="ECHR_Table_Simple_Box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">
    <w:name w:val="ECHR_Ltr_Table_Address1"/>
    <w:basedOn w:val="TableNormal"/>
    <w:uiPriority w:val="99"/>
    <w:rsid w:val="00DC2D95"/>
    <w:tblPr>
      <w:tblInd w:w="5103" w:type="dxa"/>
    </w:tblPr>
  </w:style>
  <w:style w:type="table" w:customStyle="1" w:styleId="ECHRPCFTableStyle1">
    <w:name w:val="ECHR_PCF_Table_Style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0">
    <w:name w:val="Table Grid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">
    <w:name w:val="ECHR_UG_Table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">
    <w:name w:val="ECHR_UG_Table_White_Box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">
    <w:name w:val="ECHR_A1_Style_List1"/>
    <w:basedOn w:val="NoList"/>
    <w:uiPriority w:val="99"/>
    <w:rsid w:val="00DC2D95"/>
  </w:style>
  <w:style w:type="table" w:customStyle="1" w:styleId="ECHRTable20161">
    <w:name w:val="ECHR_Table_2016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">
    <w:name w:val="ECHR_Table_2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">
    <w:name w:val="ECHR_Table_2019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">
    <w:name w:val="Medium Shading 2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D95"/>
    <w:rPr>
      <w:color w:val="605E5C"/>
      <w:shd w:val="clear" w:color="auto" w:fill="E1DFDD"/>
    </w:rPr>
  </w:style>
  <w:style w:type="table" w:customStyle="1" w:styleId="GridTable1Light-Accent21">
    <w:name w:val="Grid Table 1 Light - Accent 2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D95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D95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D95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ListTable1Light1">
    <w:name w:val="List Table 1 Light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D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D95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D95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D95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D95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D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D95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D95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D95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D95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D95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D95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D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D95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D95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D95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D95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D95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D95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D95"/>
    <w:rPr>
      <w:color w:val="2B579A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DC2D95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D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D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D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D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DC2D95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DC2D95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DC2D95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numbering" w:customStyle="1" w:styleId="ECHRA1StyleBulletedSquare2">
    <w:name w:val="ECHR_A1_Style_Bulleted_Square2"/>
    <w:basedOn w:val="NoList"/>
    <w:rsid w:val="00DC2D95"/>
  </w:style>
  <w:style w:type="numbering" w:customStyle="1" w:styleId="ECHRA1StyleList2">
    <w:name w:val="ECHR_A1_Style_List2"/>
    <w:basedOn w:val="NoList"/>
    <w:uiPriority w:val="99"/>
    <w:rsid w:val="00DC2D95"/>
  </w:style>
  <w:style w:type="numbering" w:customStyle="1" w:styleId="ECHRA1StyleNumberedList2">
    <w:name w:val="ECHR_A1_Style_Numbered_List2"/>
    <w:basedOn w:val="NoList"/>
    <w:rsid w:val="00DC2D95"/>
  </w:style>
  <w:style w:type="character" w:customStyle="1" w:styleId="NoteHeadingChar1">
    <w:name w:val="Note Heading Char1"/>
    <w:basedOn w:val="DefaultParagraphFont"/>
    <w:uiPriority w:val="99"/>
    <w:semiHidden/>
    <w:rsid w:val="00DC2D95"/>
    <w:rPr>
      <w:sz w:val="24"/>
      <w:szCs w:val="24"/>
      <w:lang w:val="sq-AL"/>
    </w:rPr>
  </w:style>
  <w:style w:type="numbering" w:customStyle="1" w:styleId="ECHRA1StyleBulletedSquare21">
    <w:name w:val="ECHR_A1_Style_Bulleted_Square21"/>
    <w:basedOn w:val="NoList"/>
    <w:rsid w:val="00DC2D95"/>
  </w:style>
  <w:style w:type="numbering" w:customStyle="1" w:styleId="ECHRA1StyleNumberedList21">
    <w:name w:val="ECHR_A1_Style_Numbered_List21"/>
    <w:basedOn w:val="NoList"/>
    <w:rsid w:val="00DC2D95"/>
  </w:style>
  <w:style w:type="table" w:customStyle="1" w:styleId="ECHRDNTable2">
    <w:name w:val="ECHR_DN_Table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2">
    <w:name w:val="ECHR_Header_Table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2">
    <w:name w:val="ECHR_Header_Table_Reduced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3">
    <w:name w:val="ECHR_List_Table3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20">
    <w:name w:val="ECHR_Table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2">
    <w:name w:val="ECHR_Table_Box_Header2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TableFax2">
    <w:name w:val="ECHR_Table_Fax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2">
    <w:name w:val="ECHR_Table_For_Internal_Use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2">
    <w:name w:val="ECHR_Table_Memo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2">
    <w:name w:val="ECHR_Table_No_Lines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2">
    <w:name w:val="ECHR_Table_Odd_Banded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2">
    <w:name w:val="ECHR_Table_Simple_Box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2">
    <w:name w:val="ECHR_Ltr_Table_Address2"/>
    <w:basedOn w:val="TableNormal"/>
    <w:uiPriority w:val="99"/>
    <w:rsid w:val="00DC2D95"/>
    <w:tblPr>
      <w:tblInd w:w="5103" w:type="dxa"/>
    </w:tblPr>
  </w:style>
  <w:style w:type="table" w:customStyle="1" w:styleId="ECHRPCFTableStyle2">
    <w:name w:val="ECHR_PCF_Table_Style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20">
    <w:name w:val="Table Grid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2">
    <w:name w:val="ECHR_UG_Table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2">
    <w:name w:val="ECHR_UG_Table_White_Box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">
    <w:name w:val="ECHR_Table_Grey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21">
    <w:name w:val="ECHR_A1_Style_List21"/>
    <w:basedOn w:val="NoList"/>
    <w:uiPriority w:val="99"/>
    <w:rsid w:val="00DC2D95"/>
  </w:style>
  <w:style w:type="table" w:customStyle="1" w:styleId="ECHRTable20162">
    <w:name w:val="ECHR_Table_2016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2">
    <w:name w:val="ECHR_Table_2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2">
    <w:name w:val="ECHR_Table_2019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2">
    <w:name w:val="Medium Shading 2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1">
    <w:name w:val="ECHR_A1_Style_Bulleted_Square11"/>
    <w:basedOn w:val="NoList"/>
    <w:rsid w:val="00DC2D95"/>
  </w:style>
  <w:style w:type="numbering" w:customStyle="1" w:styleId="ECHRA1StyleList11">
    <w:name w:val="ECHR_A1_Style_List11"/>
    <w:basedOn w:val="NoList"/>
    <w:uiPriority w:val="99"/>
    <w:rsid w:val="00DC2D95"/>
  </w:style>
  <w:style w:type="numbering" w:customStyle="1" w:styleId="ECHRA1StyleNumberedList11">
    <w:name w:val="ECHR_A1_Style_Numbered_List11"/>
    <w:basedOn w:val="NoList"/>
    <w:rsid w:val="00DC2D95"/>
  </w:style>
  <w:style w:type="table" w:customStyle="1" w:styleId="ECHRTable201911">
    <w:name w:val="ECHR_Table_2019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1">
    <w:name w:val="ECHR_Table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11">
    <w:name w:val="ECHR_Table_Box_Header11"/>
    <w:basedOn w:val="TableNormal"/>
    <w:rsid w:val="00DC2D95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table" w:customStyle="1" w:styleId="ECHRLtrTableAddress11">
    <w:name w:val="ECHR_Ltr_Table_Address11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1">
    <w:name w:val="Table Grid11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">
    <w:name w:val="ECHR_UG_Table11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">
    <w:name w:val="ECHR_UG_Table_White_Box11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1">
    <w:name w:val="ECHR_PCF_Table_Style11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1">
    <w:name w:val="ECHR_Table_Fax11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1">
    <w:name w:val="ECHR_Table_Memo11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1">
    <w:name w:val="ECHR_DN_Table11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1">
    <w:name w:val="ECHR_Table_Simple_Box11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1">
    <w:name w:val="ECHR_Table_No_Lines11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1">
    <w:name w:val="ECHR_Table_For_Internal_Use11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1">
    <w:name w:val="ECHR_List_Table11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1">
    <w:name w:val="ECHR_Header_Table11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1">
    <w:name w:val="ECHR_Table_Odd_Banded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1">
    <w:name w:val="ECHR_Header_Table_Reduced11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DC2D95"/>
    <w:rPr>
      <w:color w:val="000000"/>
      <w:sz w:val="24"/>
      <w:szCs w:val="24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DC2D95"/>
    <w:rPr>
      <w:color w:val="0072BC"/>
      <w:sz w:val="24"/>
      <w:szCs w:val="24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ingLiU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ingLiU" w:hAnsi="Times New Roman" w:cs="Times New Roman"/>
        <w:b/>
        <w:bCs/>
      </w:rPr>
    </w:tblStylePr>
    <w:tblStylePr w:type="lastCol">
      <w:rPr>
        <w:rFonts w:ascii="Times New Roman" w:eastAsia="MingLiU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DC2D95"/>
    <w:rPr>
      <w:color w:val="00548C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DC2D95"/>
    <w:rPr>
      <w:color w:val="8F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DC2D95"/>
    <w:rPr>
      <w:color w:val="70707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DC2D95"/>
    <w:rPr>
      <w:color w:val="474747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DC2D95"/>
    <w:rPr>
      <w:color w:val="393939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DC2D95"/>
    <w:rPr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ingLiU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DC2D95"/>
    <w:rPr>
      <w:rFonts w:ascii="Times New Roman" w:eastAsia="MingLiU" w:hAnsi="Times New Roman" w:cs="Times New Roman"/>
      <w:color w:val="000000"/>
      <w:sz w:val="24"/>
      <w:szCs w:val="24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1">
    <w:name w:val="Medium Shading 211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DC2D9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DC2D9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DC2D9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DC2D9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DC2D9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DC2D9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DC2D9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DC2D9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DC2D9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11">
    <w:name w:val="ECHR_Table_2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1">
    <w:name w:val="ECHR_Table_201611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ListTable21">
    <w:name w:val="ECHR_List_Table21"/>
    <w:basedOn w:val="TableNormal"/>
    <w:uiPriority w:val="99"/>
    <w:rsid w:val="00DC2D95"/>
    <w:rPr>
      <w:rFonts w:ascii="Times New Roman" w:eastAsia="Times New Roman" w:hAnsi="Times New Roman" w:cs="Times New Roman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numbering" w:customStyle="1" w:styleId="ECHRA1StyleBulletedSquare111">
    <w:name w:val="ECHR_A1_Style_Bulleted_Square111"/>
    <w:basedOn w:val="NoList"/>
    <w:rsid w:val="00DC2D95"/>
  </w:style>
  <w:style w:type="numbering" w:customStyle="1" w:styleId="ECHRA1StyleNumberedList111">
    <w:name w:val="ECHR_A1_Style_Numbered_List111"/>
    <w:basedOn w:val="NoList"/>
    <w:rsid w:val="00DC2D95"/>
  </w:style>
  <w:style w:type="table" w:customStyle="1" w:styleId="ECHRDNTable111">
    <w:name w:val="ECHR_DN_Table111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1">
    <w:name w:val="ECHR_Header_Table111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1">
    <w:name w:val="ECHR_Header_Table_Reduced111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1">
    <w:name w:val="ECHR_List_Table111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1">
    <w:name w:val="ECHR_Table111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1">
    <w:name w:val="ECHR_Table_Fax111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1">
    <w:name w:val="ECHR_Table_For_Internal_Use111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1">
    <w:name w:val="ECHR_Table_Memo111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1">
    <w:name w:val="ECHR_Table_No_Lines111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1">
    <w:name w:val="ECHR_Table_Odd_Banded111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1">
    <w:name w:val="ECHR_Table_Simple_Box111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1">
    <w:name w:val="ECHR_Ltr_Table_Address111"/>
    <w:basedOn w:val="TableNormal"/>
    <w:uiPriority w:val="99"/>
    <w:rsid w:val="00DC2D95"/>
    <w:tblPr>
      <w:tblInd w:w="5103" w:type="dxa"/>
    </w:tblPr>
  </w:style>
  <w:style w:type="table" w:customStyle="1" w:styleId="ECHRPCFTableStyle111">
    <w:name w:val="ECHR_PCF_Table_Style111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1">
    <w:name w:val="ECHR_UG_Table111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1">
    <w:name w:val="ECHR_UG_Table_White_Box111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11">
    <w:name w:val="ECHR_Table_Grey11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111">
    <w:name w:val="ECHR_A1_Style_List111"/>
    <w:basedOn w:val="NoList"/>
    <w:uiPriority w:val="99"/>
    <w:rsid w:val="00DC2D95"/>
  </w:style>
  <w:style w:type="table" w:customStyle="1" w:styleId="ECHRTable2016111">
    <w:name w:val="ECHR_Table_2016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1">
    <w:name w:val="ECHR_Table_2111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1">
    <w:name w:val="ECHR_Table_2019111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1">
    <w:name w:val="Medium Shading 2111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2">
    <w:name w:val="Colorful Grid2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2">
    <w:name w:val="Colorful Grid - Accent 62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2">
    <w:name w:val="Colorful List2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2">
    <w:name w:val="Colorful List - Accent 22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2">
    <w:name w:val="Colorful List - Accent 32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2">
    <w:name w:val="Colorful List - Accent 42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2">
    <w:name w:val="Colorful List - Accent 62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2">
    <w:name w:val="Colorful Shading2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2">
    <w:name w:val="Colorful Shading - Accent 12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2">
    <w:name w:val="Colorful Shading - Accent 22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2">
    <w:name w:val="Colorful Shading - Accent 32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2">
    <w:name w:val="Colorful Shading - Accent 42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2">
    <w:name w:val="Colorful Shading - Accent 52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2">
    <w:name w:val="Colorful Shading - Accent 62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2">
    <w:name w:val="Dark List2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2">
    <w:name w:val="Dark List - Accent 12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2">
    <w:name w:val="Dark List - Accent 22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2">
    <w:name w:val="Dark List - Accent 32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2">
    <w:name w:val="Dark List - Accent 42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2">
    <w:name w:val="Dark List - Accent 52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2">
    <w:name w:val="Dark List - Accent 62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2">
    <w:name w:val="Light Grid2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2">
    <w:name w:val="Light Grid - Accent 42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2">
    <w:name w:val="Light List2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2">
    <w:name w:val="Light List - Accent 22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2">
    <w:name w:val="Light Shading2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2">
    <w:name w:val="Medium Grid 12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2">
    <w:name w:val="Medium Grid 22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2">
    <w:name w:val="Medium Grid 2 - Accent 12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2">
    <w:name w:val="Medium Grid 2 - Accent 22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2">
    <w:name w:val="Medium Grid 2 - Accent 32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2">
    <w:name w:val="Medium Grid 2 - Accent 42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2">
    <w:name w:val="Medium Grid 2 - Accent 62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2">
    <w:name w:val="Medium Grid 32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2">
    <w:name w:val="Medium Grid 3 - Accent 22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2">
    <w:name w:val="Medium List 12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">
    <w:name w:val="Medium List 1 - Accent 12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2">
    <w:name w:val="Medium List 1 - Accent 22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2">
    <w:name w:val="Medium List 1 - Accent 32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2">
    <w:name w:val="Medium List 1 - Accent 42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2">
    <w:name w:val="Medium List 1 - Accent 62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2">
    <w:name w:val="Medium List 22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2">
    <w:name w:val="Medium List 2 - Accent 32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2">
    <w:name w:val="Medium List 2 - Accent 42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2">
    <w:name w:val="Medium List 2 - Accent 62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2">
    <w:name w:val="Medium Shading 1 - Accent 62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2">
    <w:name w:val="Medium Shading 2 - Accent 42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2">
    <w:name w:val="Medium Shading 2 - Accent 52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3">
    <w:name w:val="ECHR_A1_Style_Bulleted_Square3"/>
    <w:basedOn w:val="NoList"/>
    <w:rsid w:val="00DC2D95"/>
  </w:style>
  <w:style w:type="numbering" w:customStyle="1" w:styleId="ECHRA1StyleNumberedList3">
    <w:name w:val="ECHR_A1_Style_Numbered_List3"/>
    <w:basedOn w:val="NoList"/>
    <w:rsid w:val="00DC2D95"/>
  </w:style>
  <w:style w:type="table" w:customStyle="1" w:styleId="ECHRDNTable3">
    <w:name w:val="ECHR_DN_Table3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3">
    <w:name w:val="ECHR_Header_Table3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3">
    <w:name w:val="ECHR_Header_Table_Reduced3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4">
    <w:name w:val="ECHR_List_Table4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Fax3">
    <w:name w:val="ECHR_Table_Fax3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3">
    <w:name w:val="ECHR_Table_For_Internal_Use3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3">
    <w:name w:val="ECHR_Table_Memo3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3">
    <w:name w:val="ECHR_Table_No_Lines3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SimpleBox3">
    <w:name w:val="ECHR_Table_Simple_Box3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3">
    <w:name w:val="ECHR_Ltr_Table_Address3"/>
    <w:basedOn w:val="TableNormal"/>
    <w:uiPriority w:val="99"/>
    <w:rsid w:val="00DC2D95"/>
    <w:tblPr>
      <w:tblInd w:w="5103" w:type="dxa"/>
    </w:tblPr>
  </w:style>
  <w:style w:type="table" w:customStyle="1" w:styleId="ECHRPCFTableStyle3">
    <w:name w:val="ECHR_PCF_Table_Style3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30">
    <w:name w:val="Table Grid3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3">
    <w:name w:val="ECHR_UG_Table3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3">
    <w:name w:val="ECHR_UG_Table_White_Box3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TableGrey2">
    <w:name w:val="ECHR_Table_Grey2"/>
    <w:basedOn w:val="TableNormal"/>
    <w:uiPriority w:val="99"/>
    <w:rsid w:val="00DC2D95"/>
    <w:pPr>
      <w:tabs>
        <w:tab w:val="left" w:pos="397"/>
      </w:tabs>
    </w:pPr>
    <w:tblPr>
      <w:jc w:val="center"/>
      <w:tblBorders>
        <w:top w:val="single" w:sz="4" w:space="0" w:color="636363"/>
        <w:left w:val="single" w:sz="4" w:space="0" w:color="636363"/>
        <w:bottom w:val="single" w:sz="4" w:space="0" w:color="636363"/>
        <w:right w:val="single" w:sz="4" w:space="0" w:color="636363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/>
    </w:tcPr>
    <w:tblStylePr w:type="firstRow">
      <w:rPr>
        <w:b/>
        <w:color w:val="262626"/>
      </w:rPr>
    </w:tblStylePr>
  </w:style>
  <w:style w:type="numbering" w:customStyle="1" w:styleId="ECHRA1StyleList3">
    <w:name w:val="ECHR_A1_Style_List3"/>
    <w:basedOn w:val="NoList"/>
    <w:uiPriority w:val="99"/>
    <w:rsid w:val="00DC2D95"/>
  </w:style>
  <w:style w:type="table" w:customStyle="1" w:styleId="ECHRTable20163">
    <w:name w:val="ECHR_Table_2016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3">
    <w:name w:val="ECHR_Table_23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3">
    <w:name w:val="ECHR_Table_20193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3">
    <w:name w:val="Medium Shading 23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ECHRA1StyleBulletedSquare12">
    <w:name w:val="ECHR_A1_Style_Bulleted_Square12"/>
    <w:basedOn w:val="NoList"/>
    <w:rsid w:val="00DC2D95"/>
  </w:style>
  <w:style w:type="numbering" w:customStyle="1" w:styleId="ECHRA1StyleList12">
    <w:name w:val="ECHR_A1_Style_List12"/>
    <w:basedOn w:val="NoList"/>
    <w:uiPriority w:val="99"/>
    <w:rsid w:val="00DC2D95"/>
  </w:style>
  <w:style w:type="numbering" w:customStyle="1" w:styleId="ECHRA1StyleNumberedList12">
    <w:name w:val="ECHR_A1_Style_Numbered_List12"/>
    <w:basedOn w:val="NoList"/>
    <w:rsid w:val="00DC2D95"/>
  </w:style>
  <w:style w:type="table" w:customStyle="1" w:styleId="ECHRTable201912">
    <w:name w:val="ECHR_Table_2019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ECHRTable12">
    <w:name w:val="ECHR_Table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LtrTableAddress12">
    <w:name w:val="ECHR_Ltr_Table_Address12"/>
    <w:basedOn w:val="TableNormal"/>
    <w:uiPriority w:val="99"/>
    <w:rsid w:val="00DC2D95"/>
    <w:rPr>
      <w:sz w:val="24"/>
      <w:szCs w:val="24"/>
    </w:rPr>
    <w:tblPr>
      <w:tblInd w:w="5103" w:type="dxa"/>
    </w:tblPr>
  </w:style>
  <w:style w:type="table" w:customStyle="1" w:styleId="TableGrid12">
    <w:name w:val="Table Grid12"/>
    <w:basedOn w:val="TableNormal"/>
    <w:next w:val="TableGrid"/>
    <w:uiPriority w:val="59"/>
    <w:semiHidden/>
    <w:rsid w:val="00DC2D95"/>
    <w:rPr>
      <w:rFonts w:eastAsia="PMingLiU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2">
    <w:name w:val="ECHR_UG_Table12"/>
    <w:basedOn w:val="TableNormal"/>
    <w:uiPriority w:val="99"/>
    <w:rsid w:val="00DC2D95"/>
    <w:rPr>
      <w:rFonts w:eastAsia="PMingLiU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2">
    <w:name w:val="ECHR_UG_Table_White_Box12"/>
    <w:basedOn w:val="TableNormal"/>
    <w:uiPriority w:val="99"/>
    <w:rsid w:val="00DC2D95"/>
    <w:rPr>
      <w:rFonts w:eastAsia="PMingLiU"/>
      <w:sz w:val="24"/>
      <w:szCs w:val="24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ECHRPCFTableStyle12">
    <w:name w:val="ECHR_PCF_Table_Style12"/>
    <w:basedOn w:val="TableNormal"/>
    <w:uiPriority w:val="99"/>
    <w:rsid w:val="00DC2D95"/>
    <w:rPr>
      <w:color w:val="000000"/>
      <w:sz w:val="18"/>
      <w:szCs w:val="24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12">
    <w:name w:val="ECHR_Table_Fax12"/>
    <w:basedOn w:val="TableNormal"/>
    <w:uiPriority w:val="99"/>
    <w:rsid w:val="00DC2D95"/>
    <w:rPr>
      <w:color w:val="000000"/>
      <w:sz w:val="24"/>
      <w:szCs w:val="24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12">
    <w:name w:val="ECHR_Table_Memo12"/>
    <w:basedOn w:val="TableNormal"/>
    <w:uiPriority w:val="99"/>
    <w:rsid w:val="00DC2D9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12">
    <w:name w:val="ECHR_DN_Table12"/>
    <w:basedOn w:val="TableNormal"/>
    <w:uiPriority w:val="99"/>
    <w:rsid w:val="00DC2D95"/>
    <w:rPr>
      <w:sz w:val="24"/>
      <w:szCs w:val="24"/>
    </w:rPr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TableSimpleBox12">
    <w:name w:val="ECHR_Table_Simple_Box12"/>
    <w:basedOn w:val="TableNormal"/>
    <w:uiPriority w:val="99"/>
    <w:rsid w:val="00DC2D95"/>
    <w:rPr>
      <w:sz w:val="24"/>
      <w:szCs w:val="24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12">
    <w:name w:val="ECHR_Table_No_Lines12"/>
    <w:basedOn w:val="TableNormal"/>
    <w:uiPriority w:val="99"/>
    <w:rsid w:val="00DC2D9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12">
    <w:name w:val="ECHR_Table_For_Internal_Use12"/>
    <w:basedOn w:val="TableNormal"/>
    <w:uiPriority w:val="99"/>
    <w:rsid w:val="00DC2D95"/>
    <w:rPr>
      <w:color w:val="636363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12">
    <w:name w:val="ECHR_List_Table12"/>
    <w:basedOn w:val="TableNormal"/>
    <w:uiPriority w:val="99"/>
    <w:rsid w:val="00DC2D95"/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12">
    <w:name w:val="ECHR_Header_Table12"/>
    <w:basedOn w:val="TableNormal"/>
    <w:uiPriority w:val="99"/>
    <w:rsid w:val="00DC2D95"/>
    <w:rPr>
      <w:sz w:val="24"/>
      <w:szCs w:val="24"/>
    </w:rPr>
    <w:tblPr>
      <w:tblInd w:w="-1474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12">
    <w:name w:val="ECHR_Table_Odd_Banded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HeaderTableReduced12">
    <w:name w:val="ECHR_Header_Table_Reduced12"/>
    <w:basedOn w:val="TableNormal"/>
    <w:uiPriority w:val="99"/>
    <w:rsid w:val="00DC2D9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12">
    <w:name w:val="Medium Shading 212"/>
    <w:basedOn w:val="TableNormal"/>
    <w:next w:val="MediumShading2"/>
    <w:uiPriority w:val="64"/>
    <w:semiHidden/>
    <w:rsid w:val="00DC2D9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CHRTable212">
    <w:name w:val="ECHR_Table_2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12">
    <w:name w:val="ECHR_Table_201612"/>
    <w:basedOn w:val="TableNormal"/>
    <w:uiPriority w:val="99"/>
    <w:rsid w:val="00DC2D9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Times New Roman" w:hAnsi="Times New Roman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Times New Roman" w:hAnsi="Times New Roman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numbering" w:customStyle="1" w:styleId="ECHRA1StyleBulletedSquare112">
    <w:name w:val="ECHR_A1_Style_Bulleted_Square112"/>
    <w:basedOn w:val="NoList"/>
    <w:rsid w:val="00DC2D95"/>
  </w:style>
  <w:style w:type="numbering" w:customStyle="1" w:styleId="ECHRA1StyleNumberedList112">
    <w:name w:val="ECHR_A1_Style_Numbered_List112"/>
    <w:basedOn w:val="NoList"/>
    <w:rsid w:val="00DC2D95"/>
  </w:style>
  <w:style w:type="table" w:customStyle="1" w:styleId="ECHRDNTable112">
    <w:name w:val="ECHR_DN_Table112"/>
    <w:basedOn w:val="TableNormal"/>
    <w:uiPriority w:val="99"/>
    <w:rsid w:val="00DC2D95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table" w:customStyle="1" w:styleId="ECHRHeaderTable112">
    <w:name w:val="ECHR_Header_Table112"/>
    <w:basedOn w:val="TableNormal"/>
    <w:uiPriority w:val="99"/>
    <w:rsid w:val="00DC2D95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table" w:customStyle="1" w:styleId="ECHRHeaderTableReduced112">
    <w:name w:val="ECHR_Header_Table_Reduced112"/>
    <w:basedOn w:val="TableNormal"/>
    <w:uiPriority w:val="99"/>
    <w:rsid w:val="00DC2D95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ListTable112">
    <w:name w:val="ECHR_List_Table112"/>
    <w:basedOn w:val="TableNormal"/>
    <w:uiPriority w:val="99"/>
    <w:rsid w:val="00DC2D95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Table112">
    <w:name w:val="ECHR_Table112"/>
    <w:basedOn w:val="TableNormal"/>
    <w:rsid w:val="00DC2D95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Fax112">
    <w:name w:val="ECHR_Table_Fax112"/>
    <w:basedOn w:val="TableNormal"/>
    <w:uiPriority w:val="99"/>
    <w:rsid w:val="00DC2D95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112">
    <w:name w:val="ECHR_Table_For_Internal_Use112"/>
    <w:basedOn w:val="TableNormal"/>
    <w:uiPriority w:val="99"/>
    <w:rsid w:val="00DC2D95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TableMemo112">
    <w:name w:val="ECHR_Table_Memo112"/>
    <w:basedOn w:val="TableNormal"/>
    <w:uiPriority w:val="99"/>
    <w:rsid w:val="00DC2D95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TableNoLines112">
    <w:name w:val="ECHR_Table_No_Lines112"/>
    <w:basedOn w:val="TableNormal"/>
    <w:uiPriority w:val="99"/>
    <w:rsid w:val="00DC2D95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Calibri" w:hAnsi="Calibri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OddBanded112">
    <w:name w:val="ECHR_Table_Odd_Banded112"/>
    <w:basedOn w:val="TableNormal"/>
    <w:uiPriority w:val="99"/>
    <w:rsid w:val="00DC2D95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Calibri" w:hAnsi="Calibri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table" w:customStyle="1" w:styleId="ECHRTableSimpleBox112">
    <w:name w:val="ECHR_Table_Simple_Box112"/>
    <w:basedOn w:val="TableNormal"/>
    <w:uiPriority w:val="99"/>
    <w:rsid w:val="00DC2D95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LtrTableAddress112">
    <w:name w:val="ECHR_Ltr_Table_Address112"/>
    <w:basedOn w:val="TableNormal"/>
    <w:uiPriority w:val="99"/>
    <w:rsid w:val="00DC2D95"/>
    <w:tblPr>
      <w:tblInd w:w="5103" w:type="dxa"/>
    </w:tblPr>
  </w:style>
  <w:style w:type="table" w:customStyle="1" w:styleId="ECHRPCFTableStyle112">
    <w:name w:val="ECHR_PCF_Table_Style112"/>
    <w:basedOn w:val="TableNormal"/>
    <w:uiPriority w:val="99"/>
    <w:rsid w:val="00DC2D95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DC2D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HRUGTable112">
    <w:name w:val="ECHR_UG_Table112"/>
    <w:basedOn w:val="TableNormal"/>
    <w:uiPriority w:val="99"/>
    <w:rsid w:val="00DC2D95"/>
    <w:rPr>
      <w:rFonts w:eastAsia="Times New Roman"/>
      <w:sz w:val="20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ECHRUGTableWhiteBox112">
    <w:name w:val="ECHR_UG_Table_White_Box112"/>
    <w:basedOn w:val="TableNormal"/>
    <w:uiPriority w:val="99"/>
    <w:rsid w:val="00DC2D95"/>
    <w:rPr>
      <w:rFonts w:eastAsia="Times New Roman"/>
      <w:lang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numbering" w:customStyle="1" w:styleId="ECHRA1StyleList112">
    <w:name w:val="ECHR_A1_Style_List112"/>
    <w:basedOn w:val="NoList"/>
    <w:uiPriority w:val="99"/>
    <w:rsid w:val="00DC2D95"/>
  </w:style>
  <w:style w:type="table" w:customStyle="1" w:styleId="ECHRTable2016112">
    <w:name w:val="ECHR_Table_2016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F8F8F8"/>
        <w:sz w:val="22"/>
      </w:rPr>
      <w:tblPr/>
      <w:trPr>
        <w:tblHeader/>
      </w:trPr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F8F8F8"/>
          <w:tl2br w:val="nil"/>
          <w:tr2bl w:val="nil"/>
        </w:tcBorders>
        <w:shd w:val="clear" w:color="auto" w:fill="5F5F5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2Horz">
      <w:tblPr/>
      <w:tcPr>
        <w:tcBorders>
          <w:top w:val="single" w:sz="4" w:space="0" w:color="0072BC"/>
          <w:left w:val="single" w:sz="4" w:space="0" w:color="0072BC"/>
          <w:bottom w:val="single" w:sz="4" w:space="0" w:color="0072BC"/>
          <w:right w:val="single" w:sz="4" w:space="0" w:color="0072BC"/>
          <w:insideH w:val="single" w:sz="4" w:space="0" w:color="0072BC"/>
          <w:insideV w:val="single" w:sz="4" w:space="0" w:color="0072BC"/>
          <w:tl2br w:val="nil"/>
          <w:tr2bl w:val="nil"/>
        </w:tcBorders>
        <w:shd w:val="clear" w:color="auto" w:fill="E8E8E8"/>
      </w:tcPr>
    </w:tblStylePr>
  </w:style>
  <w:style w:type="table" w:customStyle="1" w:styleId="ECHRTable2112">
    <w:name w:val="ECHR_Table_2112"/>
    <w:basedOn w:val="TableNormal"/>
    <w:uiPriority w:val="99"/>
    <w:rsid w:val="00DC2D95"/>
    <w:pPr>
      <w:tabs>
        <w:tab w:val="left" w:pos="567"/>
        <w:tab w:val="left" w:pos="851"/>
        <w:tab w:val="right" w:pos="5273"/>
      </w:tabs>
    </w:pPr>
    <w:rPr>
      <w:color w:val="262626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9112">
    <w:name w:val="ECHR_Table_2019112"/>
    <w:basedOn w:val="TableNormal"/>
    <w:uiPriority w:val="99"/>
    <w:rsid w:val="00DC2D95"/>
    <w:tblPr>
      <w:tblStyleRowBandSize w:val="1"/>
      <w:tblStyleColBandSize w:val="1"/>
      <w:jc w:val="center"/>
      <w:tblBorders>
        <w:top w:val="single" w:sz="4" w:space="0" w:color="5F5F5F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5F5F5F"/>
        <w:insideV w:val="single" w:sz="4" w:space="0" w:color="5F5F5F"/>
      </w:tblBorders>
    </w:tblPr>
    <w:trPr>
      <w:jc w:val="center"/>
    </w:trPr>
    <w:tblStylePr w:type="firstRow">
      <w:rPr>
        <w:rFonts w:ascii="Calibri" w:hAnsi="Calibri"/>
        <w:b/>
        <w:i w:val="0"/>
        <w:color w:val="auto"/>
        <w:sz w:val="22"/>
      </w:rPr>
      <w:tblPr/>
      <w:tcPr>
        <w:shd w:val="clear" w:color="auto" w:fill="DFDFDF"/>
      </w:tcPr>
    </w:tblStylePr>
    <w:tblStylePr w:type="lastRow">
      <w:rPr>
        <w:b/>
        <w:i w:val="0"/>
      </w:rPr>
      <w:tblPr/>
      <w:tcPr>
        <w:tcBorders>
          <w:top w:val="single" w:sz="8" w:space="0" w:color="5F5F5F"/>
          <w:left w:val="single" w:sz="4" w:space="0" w:color="5F5F5F"/>
          <w:bottom w:val="single" w:sz="8" w:space="0" w:color="5F5F5F"/>
          <w:right w:val="single" w:sz="4" w:space="0" w:color="5F5F5F"/>
          <w:insideH w:val="nil"/>
          <w:insideV w:val="single" w:sz="4" w:space="0" w:color="5F5F5F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  <w:color w:val="3E3E3E"/>
        <w:sz w:val="22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  <w:tl2br w:val="nil"/>
          <w:tr2bl w:val="nil"/>
        </w:tcBorders>
        <w:shd w:val="clear" w:color="auto" w:fill="F3F3F3"/>
      </w:tcPr>
    </w:tblStylePr>
  </w:style>
  <w:style w:type="table" w:customStyle="1" w:styleId="MediumShading2112">
    <w:name w:val="Medium Shading 2112"/>
    <w:basedOn w:val="TableNormal"/>
    <w:next w:val="MediumShading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Grid3">
    <w:name w:val="Colorful Grid3"/>
    <w:basedOn w:val="TableNormal"/>
    <w:next w:val="ColorfulGrid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ColorfulGrid-Accent33">
    <w:name w:val="Colorful Grid - Accent 33"/>
    <w:basedOn w:val="TableNormal"/>
    <w:next w:val="ColorfulGrid-Accent3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43">
    <w:name w:val="Colorful Grid - Accent 43"/>
    <w:basedOn w:val="TableNormal"/>
    <w:next w:val="ColorfulGrid-Accent4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ColorfulGrid-Accent53">
    <w:name w:val="Colorful Grid - Accent 53"/>
    <w:basedOn w:val="TableNormal"/>
    <w:next w:val="ColorfulGrid-Accent5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Grid-Accent63">
    <w:name w:val="Colorful Grid - Accent 63"/>
    <w:basedOn w:val="TableNormal"/>
    <w:next w:val="ColorfulGrid-Accent6"/>
    <w:uiPriority w:val="99"/>
    <w:rsid w:val="00DC2D95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3">
    <w:name w:val="Colorful List3"/>
    <w:basedOn w:val="TableNormal"/>
    <w:next w:val="ColorfulList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customStyle="1" w:styleId="ColorfulList-Accent23">
    <w:name w:val="Colorful List - Accent 23"/>
    <w:basedOn w:val="TableNormal"/>
    <w:next w:val="ColorfulList-Accent2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customStyle="1" w:styleId="ColorfulList-Accent33">
    <w:name w:val="Colorful List - Accent 33"/>
    <w:basedOn w:val="TableNormal"/>
    <w:next w:val="ColorfulList-Accent3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43">
    <w:name w:val="Colorful List - Accent 43"/>
    <w:basedOn w:val="TableNormal"/>
    <w:next w:val="ColorfulList-Accent4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customStyle="1" w:styleId="ColorfulList-Accent63">
    <w:name w:val="Colorful List - Accent 63"/>
    <w:basedOn w:val="TableNormal"/>
    <w:next w:val="ColorfulList-Accent6"/>
    <w:uiPriority w:val="99"/>
    <w:rsid w:val="00DC2D95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3">
    <w:name w:val="Colorful Shading3"/>
    <w:basedOn w:val="TableNormal"/>
    <w:next w:val="Colorful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3">
    <w:name w:val="Colorful Shading - Accent 13"/>
    <w:basedOn w:val="TableNormal"/>
    <w:next w:val="ColorfulShading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3">
    <w:name w:val="Colorful Shading - Accent 23"/>
    <w:basedOn w:val="TableNormal"/>
    <w:next w:val="ColorfulShading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3">
    <w:name w:val="Colorful Shading - Accent 33"/>
    <w:basedOn w:val="TableNormal"/>
    <w:next w:val="ColorfulShading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customStyle="1" w:styleId="ColorfulShading-Accent43">
    <w:name w:val="Colorful Shading - Accent 43"/>
    <w:basedOn w:val="TableNormal"/>
    <w:next w:val="ColorfulShading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3">
    <w:name w:val="Colorful Shading - Accent 53"/>
    <w:basedOn w:val="TableNormal"/>
    <w:next w:val="ColorfulShading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3">
    <w:name w:val="Colorful Shading - Accent 63"/>
    <w:basedOn w:val="TableNormal"/>
    <w:next w:val="ColorfulShading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3">
    <w:name w:val="Dark List3"/>
    <w:basedOn w:val="TableNormal"/>
    <w:next w:val="DarkList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3">
    <w:name w:val="Dark List - Accent 13"/>
    <w:basedOn w:val="TableNormal"/>
    <w:next w:val="DarkList-Accent1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customStyle="1" w:styleId="DarkList-Accent23">
    <w:name w:val="Dark List - Accent 23"/>
    <w:basedOn w:val="TableNormal"/>
    <w:next w:val="DarkList-Accent2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customStyle="1" w:styleId="DarkList-Accent33">
    <w:name w:val="Dark List - Accent 33"/>
    <w:basedOn w:val="TableNormal"/>
    <w:next w:val="DarkList-Accent3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43">
    <w:name w:val="Dark List - Accent 43"/>
    <w:basedOn w:val="TableNormal"/>
    <w:next w:val="DarkList-Accent4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customStyle="1" w:styleId="DarkList-Accent53">
    <w:name w:val="Dark List - Accent 53"/>
    <w:basedOn w:val="TableNormal"/>
    <w:next w:val="DarkList-Accent5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customStyle="1" w:styleId="DarkList-Accent63">
    <w:name w:val="Dark List - Accent 63"/>
    <w:basedOn w:val="TableNormal"/>
    <w:next w:val="DarkList-Accent6"/>
    <w:uiPriority w:val="99"/>
    <w:rsid w:val="00DC2D95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table" w:customStyle="1" w:styleId="LightGrid3">
    <w:name w:val="Light Grid3"/>
    <w:basedOn w:val="TableNormal"/>
    <w:next w:val="LightGrid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customStyle="1" w:styleId="LightGrid-Accent23">
    <w:name w:val="Light Grid - Accent 23"/>
    <w:basedOn w:val="TableNormal"/>
    <w:next w:val="LightGrid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43">
    <w:name w:val="Light Grid - Accent 43"/>
    <w:basedOn w:val="TableNormal"/>
    <w:next w:val="LightGrid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customStyle="1" w:styleId="LightGrid-Accent63">
    <w:name w:val="Light Grid - Accent 63"/>
    <w:basedOn w:val="TableNormal"/>
    <w:next w:val="LightGrid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3">
    <w:name w:val="Light List3"/>
    <w:basedOn w:val="TableNormal"/>
    <w:next w:val="LightList"/>
    <w:uiPriority w:val="99"/>
    <w:rsid w:val="00DC2D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customStyle="1" w:styleId="LightList-Accent23">
    <w:name w:val="Light List - Accent 23"/>
    <w:basedOn w:val="TableNormal"/>
    <w:next w:val="LightList-Accent2"/>
    <w:uiPriority w:val="99"/>
    <w:rsid w:val="00DC2D95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customStyle="1" w:styleId="LightList-Accent33">
    <w:name w:val="Light List - Accent 33"/>
    <w:basedOn w:val="TableNormal"/>
    <w:next w:val="LightList-Accent3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99"/>
    <w:rsid w:val="00DC2D95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customStyle="1" w:styleId="LightList-Accent53">
    <w:name w:val="Light List - Accent 53"/>
    <w:basedOn w:val="TableNormal"/>
    <w:next w:val="LightList-Accent5"/>
    <w:uiPriority w:val="99"/>
    <w:rsid w:val="00DC2D95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customStyle="1" w:styleId="LightList-Accent63">
    <w:name w:val="Light List - Accent 63"/>
    <w:basedOn w:val="TableNormal"/>
    <w:next w:val="LightList-Accent6"/>
    <w:uiPriority w:val="99"/>
    <w:rsid w:val="00DC2D95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3">
    <w:name w:val="Light Shading3"/>
    <w:basedOn w:val="TableNormal"/>
    <w:next w:val="LightShading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3">
    <w:name w:val="Light Shading - Accent 13"/>
    <w:basedOn w:val="TableNormal"/>
    <w:next w:val="LightShading-Accent1"/>
    <w:uiPriority w:val="99"/>
    <w:rsid w:val="00DC2D95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99"/>
    <w:rsid w:val="00DC2D95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customStyle="1" w:styleId="LightShading-Accent33">
    <w:name w:val="Light Shading - Accent 33"/>
    <w:basedOn w:val="TableNormal"/>
    <w:next w:val="LightShading-Accent3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99"/>
    <w:rsid w:val="00DC2D95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customStyle="1" w:styleId="LightShading-Accent53">
    <w:name w:val="Light Shading - Accent 53"/>
    <w:basedOn w:val="TableNormal"/>
    <w:next w:val="LightShading-Accent5"/>
    <w:uiPriority w:val="99"/>
    <w:rsid w:val="00DC2D95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customStyle="1" w:styleId="LightShading-Accent63">
    <w:name w:val="Light Shading - Accent 63"/>
    <w:basedOn w:val="TableNormal"/>
    <w:next w:val="LightShading-Accent6"/>
    <w:uiPriority w:val="99"/>
    <w:rsid w:val="00DC2D95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table" w:customStyle="1" w:styleId="MediumGrid13">
    <w:name w:val="Medium Grid 13"/>
    <w:basedOn w:val="TableNormal"/>
    <w:next w:val="MediumGrid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customStyle="1" w:styleId="MediumGrid1-Accent23">
    <w:name w:val="Medium Grid 1 - Accent 23"/>
    <w:basedOn w:val="TableNormal"/>
    <w:next w:val="MediumGrid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43">
    <w:name w:val="Medium Grid 1 - Accent 43"/>
    <w:basedOn w:val="TableNormal"/>
    <w:next w:val="MediumGrid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customStyle="1" w:styleId="MediumGrid1-Accent53">
    <w:name w:val="Medium Grid 1 - Accent 53"/>
    <w:basedOn w:val="TableNormal"/>
    <w:next w:val="MediumGrid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customStyle="1" w:styleId="MediumGrid1-Accent63">
    <w:name w:val="Medium Grid 1 - Accent 63"/>
    <w:basedOn w:val="TableNormal"/>
    <w:next w:val="MediumGrid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3">
    <w:name w:val="Medium Grid 23"/>
    <w:basedOn w:val="TableNormal"/>
    <w:next w:val="MediumGrid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13">
    <w:name w:val="Medium Grid 2 - Accent 13"/>
    <w:basedOn w:val="TableNormal"/>
    <w:next w:val="MediumGrid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23">
    <w:name w:val="Medium Grid 2 - Accent 23"/>
    <w:basedOn w:val="TableNormal"/>
    <w:next w:val="MediumGrid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33">
    <w:name w:val="Medium Grid 2 - Accent 33"/>
    <w:basedOn w:val="TableNormal"/>
    <w:next w:val="MediumGrid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43">
    <w:name w:val="Medium Grid 2 - Accent 43"/>
    <w:basedOn w:val="TableNormal"/>
    <w:next w:val="MediumGrid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53">
    <w:name w:val="Medium Grid 2 - Accent 53"/>
    <w:basedOn w:val="TableNormal"/>
    <w:next w:val="MediumGrid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2-Accent63">
    <w:name w:val="Medium Grid 2 - Accent 63"/>
    <w:basedOn w:val="TableNormal"/>
    <w:next w:val="MediumGrid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3">
    <w:name w:val="Medium Grid 33"/>
    <w:basedOn w:val="TableNormal"/>
    <w:next w:val="MediumGrid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customStyle="1" w:styleId="MediumGrid3-Accent23">
    <w:name w:val="Medium Grid 3 - Accent 23"/>
    <w:basedOn w:val="TableNormal"/>
    <w:next w:val="MediumGrid3-Accent2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customStyle="1" w:styleId="MediumGrid3-Accent33">
    <w:name w:val="Medium Grid 3 - Accent 33"/>
    <w:basedOn w:val="TableNormal"/>
    <w:next w:val="MediumGrid3-Accent3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43">
    <w:name w:val="Medium Grid 3 - Accent 43"/>
    <w:basedOn w:val="TableNormal"/>
    <w:next w:val="MediumGrid3-Accent4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99"/>
    <w:rsid w:val="00DC2D95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3">
    <w:name w:val="Medium List 13"/>
    <w:basedOn w:val="TableNormal"/>
    <w:next w:val="MediumLis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">
    <w:name w:val="Medium List 1 - Accent 13"/>
    <w:basedOn w:val="TableNormal"/>
    <w:next w:val="MediumList1-Accent1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customStyle="1" w:styleId="MediumList1-Accent23">
    <w:name w:val="Medium List 1 - Accent 23"/>
    <w:basedOn w:val="TableNormal"/>
    <w:next w:val="MediumList1-Accent2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customStyle="1" w:styleId="MediumList1-Accent33">
    <w:name w:val="Medium List 1 - Accent 33"/>
    <w:basedOn w:val="TableNormal"/>
    <w:next w:val="MediumList1-Accent3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43">
    <w:name w:val="Medium List 1 - Accent 43"/>
    <w:basedOn w:val="TableNormal"/>
    <w:next w:val="MediumList1-Accent4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customStyle="1" w:styleId="MediumList1-Accent63">
    <w:name w:val="Medium List 1 - Accent 63"/>
    <w:basedOn w:val="TableNormal"/>
    <w:next w:val="MediumList1-Accent6"/>
    <w:uiPriority w:val="99"/>
    <w:rsid w:val="00DC2D95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3">
    <w:name w:val="Medium List 23"/>
    <w:basedOn w:val="TableNormal"/>
    <w:next w:val="MediumLis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3">
    <w:name w:val="Medium List 2 - Accent 23"/>
    <w:basedOn w:val="TableNormal"/>
    <w:next w:val="MediumList2-Accent2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3">
    <w:name w:val="Medium List 2 - Accent 33"/>
    <w:basedOn w:val="TableNormal"/>
    <w:next w:val="MediumList2-Accent3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3">
    <w:name w:val="Medium List 2 - Accent 43"/>
    <w:basedOn w:val="TableNormal"/>
    <w:next w:val="MediumList2-Accent4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3">
    <w:name w:val="Medium List 2 - Accent 63"/>
    <w:basedOn w:val="TableNormal"/>
    <w:next w:val="MediumList2-Accent6"/>
    <w:uiPriority w:val="99"/>
    <w:rsid w:val="00DC2D95"/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3">
    <w:name w:val="Medium Shading 13"/>
    <w:basedOn w:val="TableNormal"/>
    <w:next w:val="MediumShading1"/>
    <w:uiPriority w:val="99"/>
    <w:rsid w:val="00DC2D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next w:val="MediumShading1-Accent1"/>
    <w:uiPriority w:val="99"/>
    <w:rsid w:val="00DC2D95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99"/>
    <w:rsid w:val="00DC2D95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3">
    <w:name w:val="Medium Shading 1 - Accent 33"/>
    <w:basedOn w:val="TableNormal"/>
    <w:next w:val="MediumShading1-Accent3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99"/>
    <w:rsid w:val="00DC2D95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99"/>
    <w:rsid w:val="00DC2D95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3">
    <w:name w:val="Medium Shading 1 - Accent 63"/>
    <w:basedOn w:val="TableNormal"/>
    <w:next w:val="MediumShading1-Accent6"/>
    <w:uiPriority w:val="99"/>
    <w:rsid w:val="00DC2D95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3">
    <w:name w:val="Medium Shading 2 - Accent 13"/>
    <w:basedOn w:val="TableNormal"/>
    <w:next w:val="MediumShading2-Accent1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3">
    <w:name w:val="Medium Shading 2 - Accent 43"/>
    <w:basedOn w:val="TableNormal"/>
    <w:next w:val="MediumShading2-Accent4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3">
    <w:name w:val="Medium Shading 2 - Accent 53"/>
    <w:basedOn w:val="TableNormal"/>
    <w:next w:val="MediumShading2-Accent5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3">
    <w:name w:val="Medium Shading 2 - Accent 63"/>
    <w:basedOn w:val="TableNormal"/>
    <w:next w:val="MediumShading2-Accent6"/>
    <w:uiPriority w:val="99"/>
    <w:rsid w:val="00DC2D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01">
    <w:name w:val="fontstyle01"/>
    <w:basedOn w:val="DefaultParagraphFont"/>
    <w:rsid w:val="00AE1539"/>
    <w:rPr>
      <w:rFonts w:ascii="FuturaStd-Book" w:hAnsi="FuturaStd-Book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DF5BF7A44C914ECCA0F1EA50165EA86B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945-16</Nr_x002e__x0020_akti>
    <Data_x0020_e_x0020_Krijimit xmlns="0e656187-b300-4fb0-8bf4-3a50f872073c">2022-04-22T11:37:33Z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2022-04-21T22:00:00Z</Date_x0020_protokolli>
    <Titulli xmlns="0e656187-b300-4fb0-8bf4-3a50f872073c">Vendim i Gjykatës Europiane të të Drejtave të Njeriut, kërkesa nr. 945/16 Petrit Ponari kundër Shqipërisë</Titulli>
    <Modifikuesi xmlns="0e656187-b300-4fb0-8bf4-3a50f872073c">jorina.kryeziu</Modifikuesi>
    <Nr_x002e__x0020_prot_x0020_QBZ xmlns="0e656187-b300-4fb0-8bf4-3a50f872073c">637/1</Nr_x002e__x0020_prot_x0020_QBZ>
    <Data_x0020_e_x0020_Modifikimit xmlns="0e656187-b300-4fb0-8bf4-3a50f872073c">2022-04-26T10:27:19Z</Data_x0020_e_x0020_Modifikimit>
    <Dekretuar xmlns="0e656187-b300-4fb0-8bf4-3a50f872073c">false</Dekretuar>
    <Data xmlns="0e656187-b300-4fb0-8bf4-3a50f872073c">2022-02-23T23:00:00Z</Data>
    <Nr_x002e__x0020_protokolli_x0020_i_x0020_aktit xmlns="0e656187-b300-4fb0-8bf4-3a50f872073c">1772/1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DF5BF7A44C914ECCA0F1EA50165EA86B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C5F6-C9D9-4248-81F3-652E6465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188576C-A82B-4F32-88C3-CCCAF77ED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5975E-21E3-42CB-B9BF-3F79BF9C86A6}">
  <ds:schemaRefs>
    <ds:schemaRef ds:uri="http://schemas.openxmlformats.org/package/2006/metadata/core-properties"/>
    <ds:schemaRef ds:uri="0e656187-b300-4fb0-8bf4-3a50f872073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B99DC6-8694-49CE-9BB7-8566EA2E01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90EBEF-D48E-4481-9D08-0CD27C1B3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0DD4D5CB-26C1-4BC8-AC37-712B0797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Vendim i Gjykatës Europiane të të Drejtave të Njeriut, kërkesa nr. 945/16 Petrit Ponari kundër Shqipërisë</vt:lpstr>
    </vt:vector>
  </TitlesOfParts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Vendim i Gjykatës Europiane të të Drejtave të Njeriut, kërkesa nr. 945/16 Petrit Ponari kundër Shqipërisë</dc:title>
  <dc:subject>DC</dc:subject>
  <dc:creator/>
  <cp:lastModifiedBy/>
  <cp:revision>1</cp:revision>
  <dcterms:created xsi:type="dcterms:W3CDTF">2024-03-11T09:55:00Z</dcterms:created>
  <dcterms:modified xsi:type="dcterms:W3CDTF">2024-03-11T09:55:00Z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QuickStyle">
    <vt:lpwstr>Jud_Styles_Eng_2019</vt:lpwstr>
  </property>
  <property fmtid="{D5CDD505-2E9C-101B-9397-08002B2CF9AE}" pid="4" name="RegisteredNo">
    <vt:lpwstr>13618/10</vt:lpwstr>
  </property>
  <property fmtid="{D5CDD505-2E9C-101B-9397-08002B2CF9AE}" pid="5" name="CASEID">
    <vt:lpwstr>627623</vt:lpwstr>
  </property>
  <property fmtid="{D5CDD505-2E9C-101B-9397-08002B2CF9AE}" pid="6" name="OrigTemp">
    <vt:lpwstr>English\Automation\Conversion Macros\NEW STYLES Decision.dotx</vt:lpwstr>
  </property>
  <property fmtid="{D5CDD505-2E9C-101B-9397-08002B2CF9AE}" pid="7" name="LaunchFolder">
    <vt:lpwstr>M:\Development of templates\</vt:lpwstr>
  </property>
  <property fmtid="{D5CDD505-2E9C-101B-9397-08002B2CF9AE}" pid="8" name="ContentTypeId">
    <vt:lpwstr>0x010100558EB02BDB9E204AB350EDD385B68E10</vt:lpwstr>
  </property>
</Properties>
</file>