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A1FD3" w14:textId="10B8F995" w:rsidR="00B53308" w:rsidRPr="00BF5287" w:rsidRDefault="00B53308" w:rsidP="00B53308">
      <w:pPr>
        <w:spacing w:after="0" w:line="240" w:lineRule="auto"/>
        <w:jc w:val="center"/>
        <w:rPr>
          <w:rFonts w:ascii="Garamond" w:hAnsi="Garamond"/>
          <w:b/>
          <w:sz w:val="24"/>
          <w:szCs w:val="24"/>
          <w:lang w:val="sq-AL"/>
        </w:rPr>
      </w:pPr>
      <w:bookmarkStart w:id="0" w:name="_GoBack"/>
      <w:bookmarkEnd w:id="0"/>
      <w:r w:rsidRPr="00BF5287">
        <w:rPr>
          <w:rFonts w:ascii="Garamond" w:hAnsi="Garamond"/>
          <w:b/>
          <w:sz w:val="24"/>
          <w:szCs w:val="24"/>
          <w:lang w:val="sq-AL"/>
        </w:rPr>
        <w:t>SEKSIONI I DYTË</w:t>
      </w:r>
    </w:p>
    <w:p w14:paraId="55F3ACF4" w14:textId="77777777" w:rsidR="00B53308" w:rsidRPr="00BF5287" w:rsidRDefault="00B53308" w:rsidP="00B53308">
      <w:pPr>
        <w:spacing w:after="0" w:line="240" w:lineRule="auto"/>
        <w:jc w:val="center"/>
        <w:rPr>
          <w:rFonts w:ascii="Garamond" w:hAnsi="Garamond"/>
          <w:b/>
          <w:sz w:val="24"/>
          <w:szCs w:val="24"/>
          <w:lang w:val="sq-AL"/>
        </w:rPr>
      </w:pPr>
      <w:r w:rsidRPr="00BF5287">
        <w:rPr>
          <w:rFonts w:ascii="Garamond" w:hAnsi="Garamond"/>
          <w:b/>
          <w:sz w:val="24"/>
          <w:szCs w:val="24"/>
          <w:lang w:val="sq-AL"/>
        </w:rPr>
        <w:t>VENDIM</w:t>
      </w:r>
    </w:p>
    <w:p w14:paraId="003EFB8A" w14:textId="77777777" w:rsidR="00B53308" w:rsidRPr="00BF5287" w:rsidRDefault="00B53308" w:rsidP="00B53308">
      <w:pPr>
        <w:spacing w:after="0" w:line="240" w:lineRule="auto"/>
        <w:jc w:val="center"/>
        <w:rPr>
          <w:rFonts w:ascii="Garamond" w:hAnsi="Garamond"/>
          <w:i/>
          <w:sz w:val="24"/>
          <w:szCs w:val="24"/>
          <w:lang w:val="sq-AL"/>
        </w:rPr>
      </w:pPr>
      <w:r w:rsidRPr="00BF5287">
        <w:rPr>
          <w:rFonts w:ascii="Garamond" w:hAnsi="Garamond"/>
          <w:i/>
          <w:sz w:val="24"/>
          <w:szCs w:val="24"/>
          <w:lang w:val="sq-AL"/>
        </w:rPr>
        <w:t>Kërkesa nr. 62907/16</w:t>
      </w:r>
    </w:p>
    <w:p w14:paraId="5F6F8DB9" w14:textId="2FAA87FA" w:rsidR="00B53308" w:rsidRPr="00BF5287" w:rsidRDefault="00B53308" w:rsidP="00B53308">
      <w:pPr>
        <w:spacing w:after="0" w:line="240" w:lineRule="auto"/>
        <w:jc w:val="center"/>
        <w:rPr>
          <w:rFonts w:ascii="Garamond" w:hAnsi="Garamond"/>
          <w:b/>
          <w:sz w:val="24"/>
          <w:szCs w:val="24"/>
          <w:lang w:val="sq-AL"/>
        </w:rPr>
      </w:pPr>
      <w:r w:rsidRPr="00BF5287">
        <w:rPr>
          <w:rFonts w:ascii="Garamond" w:hAnsi="Garamond"/>
          <w:b/>
          <w:sz w:val="24"/>
          <w:szCs w:val="24"/>
          <w:lang w:val="sq-AL"/>
        </w:rPr>
        <w:t xml:space="preserve">Rinaldo </w:t>
      </w:r>
      <w:r w:rsidR="00BF5287" w:rsidRPr="00BF5287">
        <w:rPr>
          <w:rFonts w:ascii="Garamond" w:hAnsi="Garamond"/>
          <w:b/>
          <w:sz w:val="24"/>
          <w:szCs w:val="24"/>
          <w:lang w:val="sq-AL"/>
        </w:rPr>
        <w:t xml:space="preserve">Myrtaj </w:t>
      </w:r>
      <w:r w:rsidRPr="00BF5287">
        <w:rPr>
          <w:rFonts w:ascii="Garamond" w:hAnsi="Garamond"/>
          <w:b/>
          <w:sz w:val="24"/>
          <w:szCs w:val="24"/>
          <w:lang w:val="sq-AL"/>
        </w:rPr>
        <w:t>dhe të tjerët</w:t>
      </w:r>
      <w:r w:rsidR="00BF5287" w:rsidRPr="00BF5287">
        <w:rPr>
          <w:rFonts w:ascii="Garamond" w:hAnsi="Garamond"/>
          <w:b/>
          <w:sz w:val="24"/>
          <w:szCs w:val="24"/>
          <w:lang w:val="sq-AL"/>
        </w:rPr>
        <w:t xml:space="preserve"> </w:t>
      </w:r>
      <w:r w:rsidRPr="00BF5287">
        <w:rPr>
          <w:rFonts w:ascii="Garamond" w:hAnsi="Garamond"/>
          <w:b/>
          <w:sz w:val="24"/>
          <w:szCs w:val="24"/>
          <w:lang w:val="sq-AL"/>
        </w:rPr>
        <w:t>kundër Shqipërisë</w:t>
      </w:r>
    </w:p>
    <w:p w14:paraId="559CEB5B" w14:textId="77777777" w:rsidR="00B53308" w:rsidRPr="00E466AF" w:rsidRDefault="00B53308" w:rsidP="00B53308">
      <w:pPr>
        <w:spacing w:after="0" w:line="240" w:lineRule="auto"/>
        <w:rPr>
          <w:rFonts w:ascii="Garamond" w:hAnsi="Garamond"/>
          <w:sz w:val="24"/>
          <w:szCs w:val="24"/>
          <w:lang w:val="sq-AL"/>
        </w:rPr>
      </w:pPr>
      <w:r w:rsidRPr="00E466AF">
        <w:rPr>
          <w:rFonts w:ascii="Garamond" w:hAnsi="Garamond"/>
          <w:sz w:val="24"/>
          <w:szCs w:val="24"/>
          <w:lang w:val="sq-AL"/>
        </w:rPr>
        <w:t xml:space="preserve"> </w:t>
      </w:r>
    </w:p>
    <w:p w14:paraId="7FFDE7F5" w14:textId="1E4BBEAA"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Gjykata E</w:t>
      </w:r>
      <w:r w:rsidR="00E466AF">
        <w:rPr>
          <w:rFonts w:ascii="Garamond" w:hAnsi="Garamond"/>
          <w:sz w:val="24"/>
          <w:szCs w:val="24"/>
          <w:lang w:val="sq-AL"/>
        </w:rPr>
        <w:t>v</w:t>
      </w:r>
      <w:r w:rsidRPr="00E466AF">
        <w:rPr>
          <w:rFonts w:ascii="Garamond" w:hAnsi="Garamond"/>
          <w:sz w:val="24"/>
          <w:szCs w:val="24"/>
          <w:lang w:val="sq-AL"/>
        </w:rPr>
        <w:t xml:space="preserve">ropiane e të Drejtave të Njeriut (Seksioni i Dytë), e mbledhur si një Komision, më 5 </w:t>
      </w:r>
      <w:r w:rsidR="00E466AF" w:rsidRPr="00E466AF">
        <w:rPr>
          <w:rFonts w:ascii="Garamond" w:hAnsi="Garamond"/>
          <w:sz w:val="24"/>
          <w:szCs w:val="24"/>
          <w:lang w:val="sq-AL"/>
        </w:rPr>
        <w:t>m</w:t>
      </w:r>
      <w:r w:rsidRPr="00E466AF">
        <w:rPr>
          <w:rFonts w:ascii="Garamond" w:hAnsi="Garamond"/>
          <w:sz w:val="24"/>
          <w:szCs w:val="24"/>
          <w:lang w:val="sq-AL"/>
        </w:rPr>
        <w:t xml:space="preserve">ars 2019, i përbërë nga: </w:t>
      </w:r>
    </w:p>
    <w:p w14:paraId="4C749596" w14:textId="77777777" w:rsidR="00FB5514"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Valeriu Griţco, </w:t>
      </w:r>
      <w:r w:rsidR="00E466AF" w:rsidRPr="00FB5514">
        <w:rPr>
          <w:rFonts w:ascii="Garamond" w:hAnsi="Garamond"/>
          <w:i/>
          <w:sz w:val="24"/>
          <w:szCs w:val="24"/>
          <w:lang w:val="sq-AL"/>
        </w:rPr>
        <w:t>k</w:t>
      </w:r>
      <w:r w:rsidRPr="00FB5514">
        <w:rPr>
          <w:rFonts w:ascii="Garamond" w:hAnsi="Garamond"/>
          <w:i/>
          <w:sz w:val="24"/>
          <w:szCs w:val="24"/>
          <w:lang w:val="sq-AL"/>
        </w:rPr>
        <w:t>ryetar</w:t>
      </w:r>
      <w:r w:rsidRPr="00E466AF">
        <w:rPr>
          <w:rFonts w:ascii="Garamond" w:hAnsi="Garamond"/>
          <w:sz w:val="24"/>
          <w:szCs w:val="24"/>
          <w:lang w:val="sq-AL"/>
        </w:rPr>
        <w:t>,</w:t>
      </w:r>
      <w:r w:rsidRPr="00E466AF">
        <w:rPr>
          <w:rFonts w:ascii="Garamond" w:hAnsi="Garamond"/>
          <w:sz w:val="24"/>
          <w:szCs w:val="24"/>
          <w:lang w:val="sq-AL"/>
        </w:rPr>
        <w:tab/>
      </w:r>
    </w:p>
    <w:p w14:paraId="4AB8A368" w14:textId="2F9B7662"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Ivana Jelić,</w:t>
      </w:r>
    </w:p>
    <w:p w14:paraId="7A194DBD" w14:textId="77777777" w:rsidR="00FB5514"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Darian Pavli, </w:t>
      </w:r>
      <w:r w:rsidRPr="00FB5514">
        <w:rPr>
          <w:rFonts w:ascii="Garamond" w:hAnsi="Garamond"/>
          <w:i/>
          <w:sz w:val="24"/>
          <w:szCs w:val="24"/>
          <w:lang w:val="sq-AL"/>
        </w:rPr>
        <w:t>gjyqtarë</w:t>
      </w:r>
      <w:r w:rsidRPr="00E466AF">
        <w:rPr>
          <w:rFonts w:ascii="Garamond" w:hAnsi="Garamond"/>
          <w:sz w:val="24"/>
          <w:szCs w:val="24"/>
          <w:lang w:val="sq-AL"/>
        </w:rPr>
        <w:t xml:space="preserve">, </w:t>
      </w:r>
    </w:p>
    <w:p w14:paraId="28619AEF" w14:textId="37C83815"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dhe Hasan Bakırcı, </w:t>
      </w:r>
      <w:r w:rsidR="00E466AF" w:rsidRPr="001510EE">
        <w:rPr>
          <w:rFonts w:ascii="Garamond" w:hAnsi="Garamond"/>
          <w:i/>
          <w:sz w:val="24"/>
          <w:szCs w:val="24"/>
          <w:lang w:val="sq-AL"/>
        </w:rPr>
        <w:t>z</w:t>
      </w:r>
      <w:r w:rsidRPr="001510EE">
        <w:rPr>
          <w:rFonts w:ascii="Garamond" w:hAnsi="Garamond"/>
          <w:i/>
          <w:sz w:val="24"/>
          <w:szCs w:val="24"/>
          <w:lang w:val="sq-AL"/>
        </w:rPr>
        <w:t>ëvendës</w:t>
      </w:r>
      <w:r w:rsidR="00E466AF" w:rsidRPr="001510EE">
        <w:rPr>
          <w:rFonts w:ascii="Garamond" w:hAnsi="Garamond"/>
          <w:i/>
          <w:sz w:val="24"/>
          <w:szCs w:val="24"/>
          <w:lang w:val="sq-AL"/>
        </w:rPr>
        <w:t>s</w:t>
      </w:r>
      <w:r w:rsidRPr="001510EE">
        <w:rPr>
          <w:rFonts w:ascii="Garamond" w:hAnsi="Garamond"/>
          <w:i/>
          <w:sz w:val="24"/>
          <w:szCs w:val="24"/>
          <w:lang w:val="sq-AL"/>
        </w:rPr>
        <w:t>ekretar i Seksionit</w:t>
      </w:r>
      <w:r w:rsidRPr="00E466AF">
        <w:rPr>
          <w:rFonts w:ascii="Garamond" w:hAnsi="Garamond"/>
          <w:sz w:val="24"/>
          <w:szCs w:val="24"/>
          <w:lang w:val="sq-AL"/>
        </w:rPr>
        <w:t>,</w:t>
      </w:r>
    </w:p>
    <w:p w14:paraId="4381879C" w14:textId="13B2154F" w:rsidR="00B53308" w:rsidRPr="00E466AF" w:rsidRDefault="00E466AF" w:rsidP="00B53308">
      <w:pPr>
        <w:spacing w:after="0" w:line="240" w:lineRule="auto"/>
        <w:ind w:firstLine="284"/>
        <w:jc w:val="both"/>
        <w:rPr>
          <w:rFonts w:ascii="Garamond" w:hAnsi="Garamond"/>
          <w:sz w:val="24"/>
          <w:szCs w:val="24"/>
          <w:lang w:val="sq-AL"/>
        </w:rPr>
      </w:pPr>
      <w:r>
        <w:rPr>
          <w:rFonts w:ascii="Garamond" w:hAnsi="Garamond"/>
          <w:sz w:val="24"/>
          <w:szCs w:val="24"/>
          <w:lang w:val="sq-AL"/>
        </w:rPr>
        <w:t>n</w:t>
      </w:r>
      <w:r w:rsidR="00B53308" w:rsidRPr="00E466AF">
        <w:rPr>
          <w:rFonts w:ascii="Garamond" w:hAnsi="Garamond"/>
          <w:sz w:val="24"/>
          <w:szCs w:val="24"/>
          <w:lang w:val="sq-AL"/>
        </w:rPr>
        <w:t xml:space="preserve">ë lidhje me kërkesën e mësipërme, paraqitur më 25 </w:t>
      </w:r>
      <w:r>
        <w:rPr>
          <w:rFonts w:ascii="Garamond" w:hAnsi="Garamond"/>
          <w:sz w:val="24"/>
          <w:szCs w:val="24"/>
          <w:lang w:val="sq-AL"/>
        </w:rPr>
        <w:t>t</w:t>
      </w:r>
      <w:r w:rsidR="00B53308" w:rsidRPr="00E466AF">
        <w:rPr>
          <w:rFonts w:ascii="Garamond" w:hAnsi="Garamond"/>
          <w:sz w:val="24"/>
          <w:szCs w:val="24"/>
          <w:lang w:val="sq-AL"/>
        </w:rPr>
        <w:t xml:space="preserve">etor 2016, </w:t>
      </w:r>
    </w:p>
    <w:p w14:paraId="5B3C3BC5" w14:textId="36148942" w:rsidR="00B53308" w:rsidRPr="00E466AF" w:rsidRDefault="00E466AF" w:rsidP="00B53308">
      <w:pPr>
        <w:spacing w:after="0" w:line="240" w:lineRule="auto"/>
        <w:ind w:firstLine="284"/>
        <w:jc w:val="both"/>
        <w:rPr>
          <w:rFonts w:ascii="Garamond" w:hAnsi="Garamond"/>
          <w:sz w:val="24"/>
          <w:szCs w:val="24"/>
          <w:lang w:val="sq-AL"/>
        </w:rPr>
      </w:pPr>
      <w:r>
        <w:rPr>
          <w:rFonts w:ascii="Garamond" w:hAnsi="Garamond"/>
          <w:sz w:val="24"/>
          <w:szCs w:val="24"/>
          <w:lang w:val="sq-AL"/>
        </w:rPr>
        <w:t>n</w:t>
      </w:r>
      <w:r w:rsidR="00B53308" w:rsidRPr="00E466AF">
        <w:rPr>
          <w:rFonts w:ascii="Garamond" w:hAnsi="Garamond"/>
          <w:sz w:val="24"/>
          <w:szCs w:val="24"/>
          <w:lang w:val="sq-AL"/>
        </w:rPr>
        <w:t>ë lidhje me deklaratat formale, ku pranohej një zgjidhje me pajtim e çështjes,</w:t>
      </w:r>
    </w:p>
    <w:p w14:paraId="30CDD513" w14:textId="2693B6B0" w:rsidR="00B53308" w:rsidRPr="00E466AF" w:rsidRDefault="00E466AF" w:rsidP="00B53308">
      <w:pPr>
        <w:spacing w:after="0" w:line="240" w:lineRule="auto"/>
        <w:ind w:firstLine="284"/>
        <w:jc w:val="both"/>
        <w:rPr>
          <w:rFonts w:ascii="Garamond" w:hAnsi="Garamond"/>
          <w:sz w:val="24"/>
          <w:szCs w:val="24"/>
          <w:lang w:val="sq-AL"/>
        </w:rPr>
      </w:pPr>
      <w:r>
        <w:rPr>
          <w:rFonts w:ascii="Garamond" w:hAnsi="Garamond"/>
          <w:sz w:val="24"/>
          <w:szCs w:val="24"/>
          <w:lang w:val="sq-AL"/>
        </w:rPr>
        <w:t>p</w:t>
      </w:r>
      <w:r w:rsidR="00B53308" w:rsidRPr="00E466AF">
        <w:rPr>
          <w:rFonts w:ascii="Garamond" w:hAnsi="Garamond"/>
          <w:sz w:val="24"/>
          <w:szCs w:val="24"/>
          <w:lang w:val="sq-AL"/>
        </w:rPr>
        <w:t xml:space="preserve">asi diskutoi, vendosi si më poshtë: </w:t>
      </w:r>
    </w:p>
    <w:p w14:paraId="76E134CC" w14:textId="77777777"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FAKTET DHE PROCEDURA</w:t>
      </w:r>
    </w:p>
    <w:p w14:paraId="55508985" w14:textId="77777777"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Një listë me kërkuesit paraqitet në shtojcë. </w:t>
      </w:r>
    </w:p>
    <w:p w14:paraId="0DB88DD5" w14:textId="6A7AE571"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Qeveria shqiptare (“Qeveria”) u përfaqësua nga </w:t>
      </w:r>
      <w:r w:rsidR="00E466AF">
        <w:rPr>
          <w:rFonts w:ascii="Garamond" w:hAnsi="Garamond"/>
          <w:sz w:val="24"/>
          <w:szCs w:val="24"/>
          <w:lang w:val="sq-AL"/>
        </w:rPr>
        <w:t>a</w:t>
      </w:r>
      <w:r w:rsidRPr="00E466AF">
        <w:rPr>
          <w:rFonts w:ascii="Garamond" w:hAnsi="Garamond"/>
          <w:sz w:val="24"/>
          <w:szCs w:val="24"/>
          <w:lang w:val="sq-AL"/>
        </w:rPr>
        <w:t xml:space="preserve">gjentja e saj e atëhershme, </w:t>
      </w:r>
      <w:r w:rsidR="00E466AF">
        <w:rPr>
          <w:rFonts w:ascii="Garamond" w:hAnsi="Garamond"/>
          <w:sz w:val="24"/>
          <w:szCs w:val="24"/>
          <w:lang w:val="sq-AL"/>
        </w:rPr>
        <w:t>zn</w:t>
      </w:r>
      <w:r w:rsidRPr="00E466AF">
        <w:rPr>
          <w:rFonts w:ascii="Garamond" w:hAnsi="Garamond"/>
          <w:sz w:val="24"/>
          <w:szCs w:val="24"/>
          <w:lang w:val="sq-AL"/>
        </w:rPr>
        <w:t xml:space="preserve">j. A. Hicka, nga Avokatura e Shtetit. </w:t>
      </w:r>
    </w:p>
    <w:p w14:paraId="7C25E809" w14:textId="56E6FC27"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Kërkuesit u ankuan, mbështetur në </w:t>
      </w:r>
      <w:r w:rsidR="00E466AF">
        <w:rPr>
          <w:rFonts w:ascii="Garamond" w:hAnsi="Garamond"/>
          <w:sz w:val="24"/>
          <w:szCs w:val="24"/>
          <w:lang w:val="sq-AL"/>
        </w:rPr>
        <w:t>n</w:t>
      </w:r>
      <w:r w:rsidRPr="00E466AF">
        <w:rPr>
          <w:rFonts w:ascii="Garamond" w:hAnsi="Garamond"/>
          <w:sz w:val="24"/>
          <w:szCs w:val="24"/>
          <w:lang w:val="sq-AL"/>
        </w:rPr>
        <w:t xml:space="preserve">enin 2 të Konventës, se e drejta për jetën e familjarëve ishte shkelur si pasojë e veprimeve të Gardës Kombëtare gjatë protestës së zhvilluar më 21 </w:t>
      </w:r>
      <w:r w:rsidR="00E466AF">
        <w:rPr>
          <w:rFonts w:ascii="Garamond" w:hAnsi="Garamond"/>
          <w:sz w:val="24"/>
          <w:szCs w:val="24"/>
          <w:lang w:val="sq-AL"/>
        </w:rPr>
        <w:t>j</w:t>
      </w:r>
      <w:r w:rsidRPr="00E466AF">
        <w:rPr>
          <w:rFonts w:ascii="Garamond" w:hAnsi="Garamond"/>
          <w:sz w:val="24"/>
          <w:szCs w:val="24"/>
          <w:lang w:val="sq-AL"/>
        </w:rPr>
        <w:t xml:space="preserve">anar 2011. Gjithashtu, ata u ankuan se përdorimi i dhunës vdekjeprurëse nuk ishte absolutisht e nevojshme dhe se autoritetet, nuk kryen një hetim efikas për vdekjen e familjarëve të tyre.  </w:t>
      </w:r>
    </w:p>
    <w:p w14:paraId="5543A24C" w14:textId="00AFD8B9"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Kërkesa iu komunikua Qeverisë më 20 </w:t>
      </w:r>
      <w:r w:rsidR="00E466AF">
        <w:rPr>
          <w:rFonts w:ascii="Garamond" w:hAnsi="Garamond"/>
          <w:sz w:val="24"/>
          <w:szCs w:val="24"/>
          <w:lang w:val="sq-AL"/>
        </w:rPr>
        <w:t>n</w:t>
      </w:r>
      <w:r w:rsidRPr="00E466AF">
        <w:rPr>
          <w:rFonts w:ascii="Garamond" w:hAnsi="Garamond"/>
          <w:sz w:val="24"/>
          <w:szCs w:val="24"/>
          <w:lang w:val="sq-AL"/>
        </w:rPr>
        <w:t>ëntor 2017.</w:t>
      </w:r>
    </w:p>
    <w:p w14:paraId="1EB60F5C" w14:textId="7CC8C65B"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Më 30 </w:t>
      </w:r>
      <w:r w:rsidR="00E466AF">
        <w:rPr>
          <w:rFonts w:ascii="Garamond" w:hAnsi="Garamond"/>
          <w:sz w:val="24"/>
          <w:szCs w:val="24"/>
          <w:lang w:val="sq-AL"/>
        </w:rPr>
        <w:t>k</w:t>
      </w:r>
      <w:r w:rsidRPr="00E466AF">
        <w:rPr>
          <w:rFonts w:ascii="Garamond" w:hAnsi="Garamond"/>
          <w:sz w:val="24"/>
          <w:szCs w:val="24"/>
          <w:lang w:val="sq-AL"/>
        </w:rPr>
        <w:t xml:space="preserve">orrik 2018 dhe më 14 </w:t>
      </w:r>
      <w:r w:rsidR="00E466AF">
        <w:rPr>
          <w:rFonts w:ascii="Garamond" w:hAnsi="Garamond"/>
          <w:sz w:val="24"/>
          <w:szCs w:val="24"/>
          <w:lang w:val="sq-AL"/>
        </w:rPr>
        <w:t>d</w:t>
      </w:r>
      <w:r w:rsidRPr="00E466AF">
        <w:rPr>
          <w:rFonts w:ascii="Garamond" w:hAnsi="Garamond"/>
          <w:sz w:val="24"/>
          <w:szCs w:val="24"/>
          <w:lang w:val="sq-AL"/>
        </w:rPr>
        <w:t xml:space="preserve">hjetor 2018, Gjykata mori deklarata për zgjidhje miqësore, të firmosura nga të gjitha palët. </w:t>
      </w:r>
    </w:p>
    <w:p w14:paraId="4977F66B" w14:textId="77777777" w:rsidR="00B53308" w:rsidRPr="00E466AF" w:rsidRDefault="00B53308" w:rsidP="00B53308">
      <w:pPr>
        <w:spacing w:after="0" w:line="240" w:lineRule="auto"/>
        <w:ind w:firstLine="284"/>
        <w:jc w:val="both"/>
        <w:rPr>
          <w:rFonts w:ascii="Garamond" w:hAnsi="Garamond"/>
          <w:sz w:val="24"/>
          <w:szCs w:val="24"/>
          <w:lang w:val="sq-AL"/>
        </w:rPr>
      </w:pPr>
      <w:r w:rsidRPr="00E466AF">
        <w:rPr>
          <w:rFonts w:ascii="Garamond" w:hAnsi="Garamond"/>
          <w:sz w:val="24"/>
          <w:szCs w:val="24"/>
          <w:lang w:val="sq-AL"/>
        </w:rPr>
        <w:t xml:space="preserve">Deklarata parashtron si më poshtë: </w:t>
      </w:r>
    </w:p>
    <w:p w14:paraId="05A4B2F4" w14:textId="77777777"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 xml:space="preserve">“Kërkuesit ranë dakord të heqin dorë nga pretendime të tjera kundër Shqipërisë në lidhje me faktet, të cilat ngrenë këtë kërkesë kundër angazhimit të Qeverisë për t’i paguar ata: </w:t>
      </w:r>
    </w:p>
    <w:p w14:paraId="1D2DE494" w14:textId="77777777"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Rinaldo Myrtaj, EUR 39,000 (tridhjetë e nëntë mijë euro)</w:t>
      </w:r>
    </w:p>
    <w:p w14:paraId="04A6B1CC" w14:textId="77777777"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Mamude Myrtaj, EUR 39,000 (tridhjetë e nëntë mijë euro)</w:t>
      </w:r>
    </w:p>
    <w:p w14:paraId="09FFA326" w14:textId="77777777"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Ilmi Deada, EUR 15,600 (pesëmbëdhjetë mijë e gjashtëqind euro)</w:t>
      </w:r>
    </w:p>
    <w:p w14:paraId="5D6ACC7B" w14:textId="77777777"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Alma Rredhi, EUR 10,000 (dhjetë mijë euro).</w:t>
      </w:r>
    </w:p>
    <w:p w14:paraId="048F41B6" w14:textId="2A60539E"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për të mbuluar dëmet monetare dhe jo monetare si edhe kostot dhe shpenzimet, të cilat do të jenë në monedhën vendase në normën e zbatueshme në datën e pagesës, dhe do të paguhen brenda tre muajve nga data e njoftimit të vendimit të marrë nga Gjykata. Në rast se kjo shumë nuk paguhet brenda periudhës së lartpërmendur prej tre muajsh, Qeveria merr përsipër të paguajë interes të thjeshtë ndaj saj, nga përfundimi i asaj periudhe deri në shlyerje, në një normë të barabartë me normën margjinale të huadhënies së Bankës Qendrore E</w:t>
      </w:r>
      <w:r w:rsidR="00FB5514">
        <w:rPr>
          <w:rFonts w:ascii="Garamond" w:hAnsi="Garamond"/>
          <w:sz w:val="20"/>
          <w:szCs w:val="20"/>
          <w:lang w:val="sq-AL"/>
        </w:rPr>
        <w:t>v</w:t>
      </w:r>
      <w:r w:rsidRPr="00E466AF">
        <w:rPr>
          <w:rFonts w:ascii="Garamond" w:hAnsi="Garamond"/>
          <w:sz w:val="20"/>
          <w:szCs w:val="20"/>
          <w:lang w:val="sq-AL"/>
        </w:rPr>
        <w:t xml:space="preserve">ropiane, gjatë periudhës përkatëse plus tre përqind. Pagesa do të përbëjë zgjidhjen përfundimtare të çështjes.  </w:t>
      </w:r>
    </w:p>
    <w:p w14:paraId="06D89433" w14:textId="256A8E8B"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 xml:space="preserve">Në vijim, Qeveria pranon se hetimi i kryer për rrethanat e vdekjes së të afërmve të kërkuesve nuk pajtohej me </w:t>
      </w:r>
      <w:r w:rsidR="00FB5514">
        <w:rPr>
          <w:rFonts w:ascii="Garamond" w:hAnsi="Garamond"/>
          <w:sz w:val="20"/>
          <w:szCs w:val="20"/>
          <w:lang w:val="sq-AL"/>
        </w:rPr>
        <w:t>n</w:t>
      </w:r>
      <w:r w:rsidRPr="00E466AF">
        <w:rPr>
          <w:rFonts w:ascii="Garamond" w:hAnsi="Garamond"/>
          <w:sz w:val="20"/>
          <w:szCs w:val="20"/>
          <w:lang w:val="sq-AL"/>
        </w:rPr>
        <w:t xml:space="preserve">enin 2 të Konventës dhe se këto çështje nuk adresoheshin në procedimet penale të realizuara, të sipërpërmendura. </w:t>
      </w:r>
    </w:p>
    <w:p w14:paraId="3DBA1B08" w14:textId="77777777" w:rsidR="00B53308" w:rsidRPr="00E466AF" w:rsidRDefault="00B53308" w:rsidP="00B53308">
      <w:pPr>
        <w:spacing w:after="0" w:line="240" w:lineRule="auto"/>
        <w:ind w:firstLine="284"/>
        <w:jc w:val="both"/>
        <w:rPr>
          <w:rFonts w:ascii="Garamond" w:hAnsi="Garamond"/>
          <w:sz w:val="20"/>
          <w:szCs w:val="20"/>
          <w:lang w:val="sq-AL"/>
        </w:rPr>
      </w:pPr>
      <w:r w:rsidRPr="00E466AF">
        <w:rPr>
          <w:rFonts w:ascii="Garamond" w:hAnsi="Garamond"/>
          <w:sz w:val="20"/>
          <w:szCs w:val="20"/>
          <w:lang w:val="sq-AL"/>
        </w:rPr>
        <w:t>Gjithashtu, Qeveria ndërmerr rihapjen e procedimeve të brendshme penale për këtë çështje, duke marrë në konsideratë përfshirjen e të afërmve të viktimave në këto procedime.”</w:t>
      </w:r>
    </w:p>
    <w:p w14:paraId="27ABC5B8" w14:textId="77777777" w:rsidR="00B53308" w:rsidRPr="00E466AF" w:rsidRDefault="00B53308" w:rsidP="00B53308">
      <w:pPr>
        <w:spacing w:after="0" w:line="240" w:lineRule="auto"/>
        <w:ind w:firstLine="284"/>
        <w:jc w:val="both"/>
        <w:rPr>
          <w:rFonts w:ascii="Garamond" w:hAnsi="Garamond"/>
          <w:sz w:val="24"/>
          <w:szCs w:val="24"/>
          <w:lang w:val="sq-AL"/>
        </w:rPr>
      </w:pPr>
    </w:p>
    <w:p w14:paraId="328D007D" w14:textId="77777777" w:rsidR="00B53308" w:rsidRPr="00E466AF" w:rsidRDefault="00B53308" w:rsidP="00B53308">
      <w:pPr>
        <w:spacing w:after="0" w:line="240" w:lineRule="auto"/>
        <w:ind w:firstLine="284"/>
        <w:rPr>
          <w:rFonts w:ascii="Garamond" w:hAnsi="Garamond"/>
          <w:sz w:val="24"/>
          <w:szCs w:val="24"/>
          <w:lang w:val="sq-AL"/>
        </w:rPr>
      </w:pPr>
      <w:r w:rsidRPr="00E466AF">
        <w:rPr>
          <w:rFonts w:ascii="Garamond" w:hAnsi="Garamond"/>
          <w:sz w:val="24"/>
          <w:szCs w:val="24"/>
          <w:lang w:val="sq-AL"/>
        </w:rPr>
        <w:t xml:space="preserve">LIGJI </w:t>
      </w:r>
    </w:p>
    <w:p w14:paraId="6E404DFC" w14:textId="77777777" w:rsidR="00B53308" w:rsidRPr="00E466AF" w:rsidRDefault="00B53308" w:rsidP="00B53308">
      <w:pPr>
        <w:spacing w:after="0" w:line="240" w:lineRule="auto"/>
        <w:ind w:firstLine="284"/>
        <w:rPr>
          <w:rFonts w:ascii="Garamond" w:hAnsi="Garamond"/>
          <w:sz w:val="24"/>
          <w:szCs w:val="24"/>
          <w:lang w:val="sq-AL"/>
        </w:rPr>
      </w:pPr>
      <w:r w:rsidRPr="00E466AF">
        <w:rPr>
          <w:rFonts w:ascii="Garamond" w:hAnsi="Garamond"/>
          <w:sz w:val="24"/>
          <w:szCs w:val="24"/>
          <w:lang w:val="sq-AL"/>
        </w:rPr>
        <w:t xml:space="preserve">Gjykata përqendrohet në zgjidhjen me pajtim të arritur midis palëve. Ajo sigurohet se zgjidhja bazohet në respektimin e të drejtave të njeriut, sipas parashikimit në Konventë dhe në Protokollet e saj, dhe nuk konstaton asnjë arsye për të justifikuar vazhdimin e shqyrtimit të kërkesës. Për sa më sipër, është me vend që çështja të hiqet nga lista. </w:t>
      </w:r>
    </w:p>
    <w:p w14:paraId="33FCAD77" w14:textId="77777777" w:rsidR="00B53308" w:rsidRPr="00E466AF" w:rsidRDefault="00B53308" w:rsidP="00B53308">
      <w:pPr>
        <w:spacing w:after="0" w:line="240" w:lineRule="auto"/>
        <w:ind w:firstLine="284"/>
        <w:rPr>
          <w:rFonts w:ascii="Garamond" w:hAnsi="Garamond"/>
          <w:sz w:val="24"/>
          <w:szCs w:val="24"/>
          <w:lang w:val="sq-AL"/>
        </w:rPr>
      </w:pPr>
      <w:r w:rsidRPr="00E466AF">
        <w:rPr>
          <w:rFonts w:ascii="Garamond" w:hAnsi="Garamond"/>
          <w:sz w:val="24"/>
          <w:szCs w:val="24"/>
          <w:lang w:val="sq-AL"/>
        </w:rPr>
        <w:t xml:space="preserve">Për këto arsye, Gjykata, në mënyrë unanime, </w:t>
      </w:r>
    </w:p>
    <w:p w14:paraId="7F977DE0" w14:textId="71D7BDDD" w:rsidR="00B53308" w:rsidRPr="00E466AF" w:rsidRDefault="00B53308" w:rsidP="00B53308">
      <w:pPr>
        <w:spacing w:after="0" w:line="240" w:lineRule="auto"/>
        <w:ind w:firstLine="284"/>
        <w:rPr>
          <w:rFonts w:ascii="Garamond" w:hAnsi="Garamond"/>
          <w:sz w:val="24"/>
          <w:szCs w:val="24"/>
          <w:lang w:val="sq-AL"/>
        </w:rPr>
      </w:pPr>
      <w:r w:rsidRPr="00E466AF">
        <w:rPr>
          <w:rFonts w:ascii="Garamond" w:hAnsi="Garamond"/>
          <w:i/>
          <w:sz w:val="24"/>
          <w:szCs w:val="24"/>
          <w:lang w:val="sq-AL"/>
        </w:rPr>
        <w:t>Vendos,</w:t>
      </w:r>
      <w:r w:rsidRPr="00E466AF">
        <w:rPr>
          <w:rFonts w:ascii="Garamond" w:hAnsi="Garamond"/>
          <w:sz w:val="24"/>
          <w:szCs w:val="24"/>
          <w:lang w:val="sq-AL"/>
        </w:rPr>
        <w:t xml:space="preserve"> ta heq kërkesën nga lista e saj e çështjeve në mbështetje të </w:t>
      </w:r>
      <w:r w:rsidR="00FB5514">
        <w:rPr>
          <w:rFonts w:ascii="Garamond" w:hAnsi="Garamond"/>
          <w:sz w:val="24"/>
          <w:szCs w:val="24"/>
          <w:lang w:val="sq-AL"/>
        </w:rPr>
        <w:t>n</w:t>
      </w:r>
      <w:r w:rsidRPr="00E466AF">
        <w:rPr>
          <w:rFonts w:ascii="Garamond" w:hAnsi="Garamond"/>
          <w:sz w:val="24"/>
          <w:szCs w:val="24"/>
          <w:lang w:val="sq-AL"/>
        </w:rPr>
        <w:t xml:space="preserve">enit 39 të Konventës. </w:t>
      </w:r>
    </w:p>
    <w:p w14:paraId="71C4FDCC" w14:textId="7BC00081" w:rsidR="00B53308" w:rsidRPr="00E466AF" w:rsidRDefault="00B53308" w:rsidP="00B53308">
      <w:pPr>
        <w:spacing w:after="0" w:line="240" w:lineRule="auto"/>
        <w:ind w:firstLine="284"/>
        <w:rPr>
          <w:rFonts w:ascii="Garamond" w:hAnsi="Garamond"/>
          <w:sz w:val="24"/>
          <w:szCs w:val="24"/>
          <w:lang w:val="sq-AL"/>
        </w:rPr>
      </w:pPr>
      <w:r w:rsidRPr="00E466AF">
        <w:rPr>
          <w:rFonts w:ascii="Garamond" w:hAnsi="Garamond"/>
          <w:sz w:val="24"/>
          <w:szCs w:val="24"/>
          <w:lang w:val="sq-AL"/>
        </w:rPr>
        <w:lastRenderedPageBreak/>
        <w:t xml:space="preserve">Hartuar në anglisht dhe njoftuar me shkrim më 28 </w:t>
      </w:r>
      <w:r w:rsidR="00FB5514">
        <w:rPr>
          <w:rFonts w:ascii="Garamond" w:hAnsi="Garamond"/>
          <w:sz w:val="24"/>
          <w:szCs w:val="24"/>
          <w:lang w:val="sq-AL"/>
        </w:rPr>
        <w:t>m</w:t>
      </w:r>
      <w:r w:rsidRPr="00E466AF">
        <w:rPr>
          <w:rFonts w:ascii="Garamond" w:hAnsi="Garamond"/>
          <w:sz w:val="24"/>
          <w:szCs w:val="24"/>
          <w:lang w:val="sq-AL"/>
        </w:rPr>
        <w:t>ars 2019.</w:t>
      </w:r>
    </w:p>
    <w:p w14:paraId="2D496C07" w14:textId="77777777" w:rsidR="00E466AF" w:rsidRDefault="00E466AF" w:rsidP="00B53308">
      <w:pPr>
        <w:spacing w:after="0" w:line="240" w:lineRule="auto"/>
        <w:ind w:firstLine="284"/>
        <w:rPr>
          <w:rFonts w:ascii="Garamond" w:hAnsi="Garamond"/>
          <w:sz w:val="24"/>
          <w:szCs w:val="24"/>
          <w:lang w:val="sq-AL"/>
        </w:rPr>
      </w:pPr>
    </w:p>
    <w:p w14:paraId="10781A77" w14:textId="7BA6122A" w:rsidR="00B53308" w:rsidRPr="00E466AF" w:rsidRDefault="00B53308" w:rsidP="00B53308">
      <w:pPr>
        <w:spacing w:after="0" w:line="240" w:lineRule="auto"/>
        <w:ind w:firstLine="284"/>
        <w:rPr>
          <w:rFonts w:ascii="Garamond" w:hAnsi="Garamond"/>
          <w:b/>
          <w:sz w:val="24"/>
          <w:szCs w:val="24"/>
          <w:lang w:val="sq-AL"/>
        </w:rPr>
      </w:pPr>
      <w:r w:rsidRPr="00E466AF">
        <w:rPr>
          <w:rFonts w:ascii="Garamond" w:hAnsi="Garamond"/>
          <w:b/>
          <w:sz w:val="24"/>
          <w:szCs w:val="24"/>
          <w:lang w:val="sq-AL"/>
        </w:rPr>
        <w:t>Hasan Bakırcı</w:t>
      </w:r>
    </w:p>
    <w:p w14:paraId="69FFB2E8" w14:textId="0EC8DB26" w:rsidR="00E466AF" w:rsidRPr="00E466AF" w:rsidRDefault="00E466AF" w:rsidP="00E466AF">
      <w:pPr>
        <w:spacing w:after="0" w:line="240" w:lineRule="auto"/>
        <w:ind w:firstLine="284"/>
        <w:rPr>
          <w:rFonts w:ascii="Garamond" w:hAnsi="Garamond"/>
          <w:sz w:val="24"/>
          <w:szCs w:val="24"/>
          <w:lang w:val="sq-AL"/>
        </w:rPr>
      </w:pPr>
      <w:r>
        <w:rPr>
          <w:rFonts w:ascii="Garamond" w:hAnsi="Garamond"/>
          <w:sz w:val="24"/>
          <w:szCs w:val="24"/>
          <w:lang w:val="sq-AL"/>
        </w:rPr>
        <w:t>ZËVENDËS</w:t>
      </w:r>
      <w:r w:rsidRPr="00E466AF">
        <w:rPr>
          <w:rFonts w:ascii="Garamond" w:hAnsi="Garamond"/>
          <w:sz w:val="24"/>
          <w:szCs w:val="24"/>
          <w:lang w:val="sq-AL"/>
        </w:rPr>
        <w:t>SEKRETAR</w:t>
      </w:r>
    </w:p>
    <w:p w14:paraId="54E31A96" w14:textId="77777777" w:rsidR="00E466AF" w:rsidRDefault="00E466AF" w:rsidP="00B53308">
      <w:pPr>
        <w:spacing w:after="0" w:line="240" w:lineRule="auto"/>
        <w:ind w:firstLine="284"/>
        <w:rPr>
          <w:rFonts w:ascii="Garamond" w:hAnsi="Garamond"/>
          <w:sz w:val="24"/>
          <w:szCs w:val="24"/>
          <w:lang w:val="sq-AL"/>
        </w:rPr>
      </w:pPr>
    </w:p>
    <w:p w14:paraId="74C21830" w14:textId="6A9BF22A" w:rsidR="00B53308" w:rsidRPr="00E466AF" w:rsidRDefault="00B53308" w:rsidP="00B53308">
      <w:pPr>
        <w:spacing w:after="0" w:line="240" w:lineRule="auto"/>
        <w:ind w:firstLine="284"/>
        <w:rPr>
          <w:rFonts w:ascii="Garamond" w:hAnsi="Garamond"/>
          <w:b/>
          <w:sz w:val="24"/>
          <w:szCs w:val="24"/>
          <w:lang w:val="sq-AL"/>
        </w:rPr>
      </w:pPr>
      <w:r w:rsidRPr="00E466AF">
        <w:rPr>
          <w:rFonts w:ascii="Garamond" w:hAnsi="Garamond"/>
          <w:b/>
          <w:sz w:val="24"/>
          <w:szCs w:val="24"/>
          <w:lang w:val="sq-AL"/>
        </w:rPr>
        <w:t>Valeriu Griţco</w:t>
      </w:r>
    </w:p>
    <w:p w14:paraId="5526ECDC" w14:textId="765DDD5E" w:rsidR="00B53308" w:rsidRPr="00E466AF" w:rsidRDefault="00E466AF" w:rsidP="00B53308">
      <w:pPr>
        <w:spacing w:after="0" w:line="240" w:lineRule="auto"/>
        <w:ind w:firstLine="284"/>
        <w:rPr>
          <w:rFonts w:ascii="Garamond" w:hAnsi="Garamond"/>
          <w:sz w:val="24"/>
          <w:szCs w:val="24"/>
          <w:lang w:val="sq-AL"/>
        </w:rPr>
      </w:pPr>
      <w:r w:rsidRPr="00E466AF">
        <w:rPr>
          <w:rFonts w:ascii="Garamond" w:hAnsi="Garamond"/>
          <w:sz w:val="24"/>
          <w:szCs w:val="24"/>
          <w:lang w:val="sq-AL"/>
        </w:rPr>
        <w:t>KRYETAR</w:t>
      </w:r>
    </w:p>
    <w:p w14:paraId="5159A4D7" w14:textId="77777777" w:rsidR="00B53308" w:rsidRPr="00E466AF" w:rsidRDefault="00B53308" w:rsidP="00B53308">
      <w:pPr>
        <w:pStyle w:val="NoSpacing"/>
        <w:spacing w:line="276" w:lineRule="auto"/>
        <w:jc w:val="both"/>
      </w:pPr>
    </w:p>
    <w:p w14:paraId="5736D6EF" w14:textId="77777777" w:rsidR="00B53308" w:rsidRPr="00E466AF" w:rsidRDefault="00B53308" w:rsidP="00B53308">
      <w:pPr>
        <w:pStyle w:val="NoSpacing"/>
        <w:spacing w:line="276" w:lineRule="auto"/>
        <w:jc w:val="center"/>
        <w:rPr>
          <w:b/>
        </w:rPr>
      </w:pPr>
      <w:r w:rsidRPr="001510EE">
        <w:t>SHTOJCË</w:t>
      </w:r>
    </w:p>
    <w:p w14:paraId="6DE07D6A" w14:textId="77777777" w:rsidR="00B53308" w:rsidRPr="00E466AF" w:rsidRDefault="00B53308" w:rsidP="00B53308">
      <w:pPr>
        <w:pStyle w:val="NoSpacing"/>
        <w:spacing w:line="276" w:lineRule="auto"/>
        <w:rPr>
          <w:b/>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699"/>
        <w:gridCol w:w="1797"/>
        <w:gridCol w:w="1439"/>
        <w:gridCol w:w="1530"/>
        <w:gridCol w:w="1619"/>
      </w:tblGrid>
      <w:tr w:rsidR="00B53308" w:rsidRPr="00E466AF" w14:paraId="6B729463"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58384F9B" w14:textId="77777777" w:rsidR="00B53308" w:rsidRPr="00E466AF" w:rsidRDefault="00B53308">
            <w:pPr>
              <w:pStyle w:val="NoSpacing"/>
              <w:spacing w:line="276" w:lineRule="auto"/>
              <w:jc w:val="both"/>
              <w:rPr>
                <w:rFonts w:ascii="Garamond" w:hAnsi="Garamond"/>
                <w:b/>
              </w:rPr>
            </w:pPr>
            <w:r w:rsidRPr="00E466AF">
              <w:rPr>
                <w:rFonts w:ascii="Garamond" w:hAnsi="Garamond"/>
                <w:b/>
              </w:rPr>
              <w:t xml:space="preserve">Nr. </w:t>
            </w:r>
          </w:p>
        </w:tc>
        <w:tc>
          <w:tcPr>
            <w:tcW w:w="2701" w:type="dxa"/>
            <w:tcBorders>
              <w:top w:val="single" w:sz="4" w:space="0" w:color="000000"/>
              <w:left w:val="single" w:sz="4" w:space="0" w:color="000000"/>
              <w:bottom w:val="single" w:sz="4" w:space="0" w:color="000000"/>
              <w:right w:val="single" w:sz="4" w:space="0" w:color="000000"/>
            </w:tcBorders>
            <w:hideMark/>
          </w:tcPr>
          <w:p w14:paraId="0352D025" w14:textId="77777777" w:rsidR="00B53308" w:rsidRPr="00E466AF" w:rsidRDefault="00B53308">
            <w:pPr>
              <w:pStyle w:val="NoSpacing"/>
              <w:spacing w:line="276" w:lineRule="auto"/>
              <w:jc w:val="both"/>
              <w:rPr>
                <w:rFonts w:ascii="Garamond" w:hAnsi="Garamond"/>
                <w:b/>
              </w:rPr>
            </w:pPr>
            <w:r w:rsidRPr="00E466AF">
              <w:rPr>
                <w:rFonts w:ascii="Garamond" w:hAnsi="Garamond"/>
                <w:b/>
              </w:rPr>
              <w:t>Emri/MBIEMRI</w:t>
            </w:r>
          </w:p>
        </w:tc>
        <w:tc>
          <w:tcPr>
            <w:tcW w:w="1800" w:type="dxa"/>
            <w:tcBorders>
              <w:top w:val="single" w:sz="4" w:space="0" w:color="000000"/>
              <w:left w:val="single" w:sz="4" w:space="0" w:color="000000"/>
              <w:bottom w:val="single" w:sz="4" w:space="0" w:color="000000"/>
              <w:right w:val="single" w:sz="4" w:space="0" w:color="000000"/>
            </w:tcBorders>
            <w:hideMark/>
          </w:tcPr>
          <w:p w14:paraId="1B07BEF6" w14:textId="77777777" w:rsidR="00B53308" w:rsidRPr="00E466AF" w:rsidRDefault="00B53308">
            <w:pPr>
              <w:pStyle w:val="NoSpacing"/>
              <w:spacing w:line="276" w:lineRule="auto"/>
              <w:jc w:val="both"/>
              <w:rPr>
                <w:rFonts w:ascii="Garamond" w:hAnsi="Garamond"/>
                <w:b/>
              </w:rPr>
            </w:pPr>
            <w:r w:rsidRPr="00E466AF">
              <w:rPr>
                <w:rFonts w:ascii="Garamond" w:hAnsi="Garamond"/>
                <w:b/>
              </w:rPr>
              <w:t>Viti i lindjes</w:t>
            </w:r>
          </w:p>
        </w:tc>
        <w:tc>
          <w:tcPr>
            <w:tcW w:w="1440" w:type="dxa"/>
            <w:tcBorders>
              <w:top w:val="single" w:sz="4" w:space="0" w:color="000000"/>
              <w:left w:val="single" w:sz="4" w:space="0" w:color="000000"/>
              <w:bottom w:val="single" w:sz="4" w:space="0" w:color="000000"/>
              <w:right w:val="single" w:sz="4" w:space="0" w:color="000000"/>
            </w:tcBorders>
            <w:hideMark/>
          </w:tcPr>
          <w:p w14:paraId="13359A98" w14:textId="77777777" w:rsidR="00B53308" w:rsidRPr="00E466AF" w:rsidRDefault="00B53308">
            <w:pPr>
              <w:pStyle w:val="NoSpacing"/>
              <w:spacing w:line="276" w:lineRule="auto"/>
              <w:jc w:val="both"/>
              <w:rPr>
                <w:rFonts w:ascii="Garamond" w:hAnsi="Garamond"/>
                <w:b/>
              </w:rPr>
            </w:pPr>
            <w:r w:rsidRPr="00E466AF">
              <w:rPr>
                <w:rFonts w:ascii="Garamond" w:hAnsi="Garamond"/>
                <w:b/>
              </w:rPr>
              <w:t xml:space="preserve">Kombësia </w:t>
            </w:r>
          </w:p>
        </w:tc>
        <w:tc>
          <w:tcPr>
            <w:tcW w:w="1530" w:type="dxa"/>
            <w:tcBorders>
              <w:top w:val="single" w:sz="4" w:space="0" w:color="000000"/>
              <w:left w:val="single" w:sz="4" w:space="0" w:color="000000"/>
              <w:bottom w:val="single" w:sz="4" w:space="0" w:color="000000"/>
              <w:right w:val="single" w:sz="4" w:space="0" w:color="000000"/>
            </w:tcBorders>
            <w:hideMark/>
          </w:tcPr>
          <w:p w14:paraId="0A787EAE" w14:textId="77777777" w:rsidR="00B53308" w:rsidRPr="00E466AF" w:rsidRDefault="00B53308">
            <w:pPr>
              <w:pStyle w:val="NoSpacing"/>
              <w:spacing w:line="276" w:lineRule="auto"/>
              <w:jc w:val="both"/>
              <w:rPr>
                <w:rFonts w:ascii="Garamond" w:hAnsi="Garamond"/>
                <w:b/>
              </w:rPr>
            </w:pPr>
            <w:r w:rsidRPr="00E466AF">
              <w:rPr>
                <w:rFonts w:ascii="Garamond" w:hAnsi="Garamond"/>
                <w:b/>
              </w:rPr>
              <w:t xml:space="preserve">Vendbanimi </w:t>
            </w:r>
          </w:p>
        </w:tc>
        <w:tc>
          <w:tcPr>
            <w:tcW w:w="1620" w:type="dxa"/>
            <w:tcBorders>
              <w:top w:val="single" w:sz="4" w:space="0" w:color="000000"/>
              <w:left w:val="single" w:sz="4" w:space="0" w:color="000000"/>
              <w:bottom w:val="single" w:sz="4" w:space="0" w:color="000000"/>
              <w:right w:val="single" w:sz="4" w:space="0" w:color="000000"/>
            </w:tcBorders>
            <w:hideMark/>
          </w:tcPr>
          <w:p w14:paraId="4BA09B4C" w14:textId="77777777" w:rsidR="00B53308" w:rsidRPr="00E466AF" w:rsidRDefault="00B53308">
            <w:pPr>
              <w:pStyle w:val="NoSpacing"/>
              <w:spacing w:line="276" w:lineRule="auto"/>
              <w:jc w:val="both"/>
              <w:rPr>
                <w:rFonts w:ascii="Garamond" w:hAnsi="Garamond"/>
                <w:b/>
              </w:rPr>
            </w:pPr>
            <w:r w:rsidRPr="00E466AF">
              <w:rPr>
                <w:rFonts w:ascii="Garamond" w:hAnsi="Garamond"/>
                <w:b/>
              </w:rPr>
              <w:t xml:space="preserve">Përfaqësues </w:t>
            </w:r>
          </w:p>
        </w:tc>
      </w:tr>
      <w:tr w:rsidR="00B53308" w:rsidRPr="00E466AF" w14:paraId="3189D3FC"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25B39BBE" w14:textId="77777777" w:rsidR="00B53308" w:rsidRPr="00E466AF" w:rsidRDefault="00B53308">
            <w:pPr>
              <w:pStyle w:val="NoSpacing"/>
              <w:spacing w:line="276" w:lineRule="auto"/>
              <w:jc w:val="both"/>
              <w:rPr>
                <w:rFonts w:ascii="Garamond" w:hAnsi="Garamond"/>
              </w:rPr>
            </w:pPr>
            <w:r w:rsidRPr="00E466AF">
              <w:rPr>
                <w:rFonts w:ascii="Garamond" w:hAnsi="Garamond"/>
              </w:rPr>
              <w:t>1</w:t>
            </w:r>
          </w:p>
        </w:tc>
        <w:tc>
          <w:tcPr>
            <w:tcW w:w="2701" w:type="dxa"/>
            <w:tcBorders>
              <w:top w:val="single" w:sz="4" w:space="0" w:color="000000"/>
              <w:left w:val="single" w:sz="4" w:space="0" w:color="000000"/>
              <w:bottom w:val="single" w:sz="4" w:space="0" w:color="000000"/>
              <w:right w:val="single" w:sz="4" w:space="0" w:color="000000"/>
            </w:tcBorders>
            <w:hideMark/>
          </w:tcPr>
          <w:p w14:paraId="766A9293" w14:textId="77777777" w:rsidR="00B53308" w:rsidRPr="00E466AF" w:rsidRDefault="00B53308">
            <w:pPr>
              <w:pStyle w:val="NoSpacing"/>
              <w:spacing w:line="276" w:lineRule="auto"/>
              <w:jc w:val="both"/>
              <w:rPr>
                <w:rFonts w:ascii="Garamond" w:hAnsi="Garamond"/>
              </w:rPr>
            </w:pPr>
            <w:r w:rsidRPr="00E466AF">
              <w:rPr>
                <w:rFonts w:ascii="Garamond" w:hAnsi="Garamond"/>
              </w:rPr>
              <w:t>Rinaldo MYRTAJ</w:t>
            </w:r>
          </w:p>
        </w:tc>
        <w:tc>
          <w:tcPr>
            <w:tcW w:w="1800" w:type="dxa"/>
            <w:tcBorders>
              <w:top w:val="single" w:sz="4" w:space="0" w:color="000000"/>
              <w:left w:val="single" w:sz="4" w:space="0" w:color="000000"/>
              <w:bottom w:val="single" w:sz="4" w:space="0" w:color="000000"/>
              <w:right w:val="single" w:sz="4" w:space="0" w:color="000000"/>
            </w:tcBorders>
            <w:hideMark/>
          </w:tcPr>
          <w:p w14:paraId="71860756"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1986</w:t>
            </w:r>
          </w:p>
        </w:tc>
        <w:tc>
          <w:tcPr>
            <w:tcW w:w="1440" w:type="dxa"/>
            <w:tcBorders>
              <w:top w:val="single" w:sz="4" w:space="0" w:color="000000"/>
              <w:left w:val="single" w:sz="4" w:space="0" w:color="000000"/>
              <w:bottom w:val="single" w:sz="4" w:space="0" w:color="000000"/>
              <w:right w:val="single" w:sz="4" w:space="0" w:color="000000"/>
            </w:tcBorders>
            <w:hideMark/>
          </w:tcPr>
          <w:p w14:paraId="3DD46AD9" w14:textId="18B0DE8B" w:rsidR="00B53308" w:rsidRPr="00E466AF" w:rsidRDefault="0031511C" w:rsidP="0031511C">
            <w:pPr>
              <w:pStyle w:val="NoSpacing"/>
              <w:spacing w:line="276" w:lineRule="auto"/>
              <w:jc w:val="center"/>
              <w:rPr>
                <w:rFonts w:ascii="Garamond" w:hAnsi="Garamond"/>
              </w:rPr>
            </w:pPr>
            <w:r w:rsidRPr="00E466AF">
              <w:rPr>
                <w:rFonts w:ascii="Garamond" w:hAnsi="Garamond"/>
              </w:rPr>
              <w:t>shqiptare</w:t>
            </w:r>
          </w:p>
        </w:tc>
        <w:tc>
          <w:tcPr>
            <w:tcW w:w="1530" w:type="dxa"/>
            <w:tcBorders>
              <w:top w:val="single" w:sz="4" w:space="0" w:color="000000"/>
              <w:left w:val="single" w:sz="4" w:space="0" w:color="000000"/>
              <w:bottom w:val="single" w:sz="4" w:space="0" w:color="000000"/>
              <w:right w:val="single" w:sz="4" w:space="0" w:color="000000"/>
            </w:tcBorders>
            <w:hideMark/>
          </w:tcPr>
          <w:p w14:paraId="1913E35F" w14:textId="6626E796" w:rsidR="00B53308" w:rsidRPr="00E466AF" w:rsidRDefault="00B53308" w:rsidP="0031511C">
            <w:pPr>
              <w:pStyle w:val="NoSpacing"/>
              <w:spacing w:line="276" w:lineRule="auto"/>
              <w:rPr>
                <w:rFonts w:ascii="Garamond" w:hAnsi="Garamond"/>
              </w:rPr>
            </w:pPr>
            <w:r w:rsidRPr="00E466AF">
              <w:rPr>
                <w:rFonts w:ascii="Garamond" w:hAnsi="Garamond"/>
              </w:rPr>
              <w:t>Fier</w:t>
            </w:r>
          </w:p>
        </w:tc>
        <w:tc>
          <w:tcPr>
            <w:tcW w:w="1620" w:type="dxa"/>
            <w:tcBorders>
              <w:top w:val="single" w:sz="4" w:space="0" w:color="000000"/>
              <w:left w:val="single" w:sz="4" w:space="0" w:color="000000"/>
              <w:bottom w:val="single" w:sz="4" w:space="0" w:color="000000"/>
              <w:right w:val="single" w:sz="4" w:space="0" w:color="000000"/>
            </w:tcBorders>
            <w:hideMark/>
          </w:tcPr>
          <w:p w14:paraId="2B067381" w14:textId="7D8F4D7D" w:rsidR="00B53308" w:rsidRPr="00E466AF" w:rsidRDefault="00B53308" w:rsidP="0031511C">
            <w:pPr>
              <w:pStyle w:val="NoSpacing"/>
              <w:spacing w:line="276" w:lineRule="auto"/>
              <w:jc w:val="center"/>
              <w:rPr>
                <w:rFonts w:ascii="Garamond" w:hAnsi="Garamond"/>
              </w:rPr>
            </w:pPr>
            <w:r w:rsidRPr="00E466AF">
              <w:rPr>
                <w:rFonts w:ascii="Garamond" w:hAnsi="Garamond"/>
              </w:rPr>
              <w:t>D. Matlija</w:t>
            </w:r>
          </w:p>
        </w:tc>
      </w:tr>
      <w:tr w:rsidR="00B53308" w:rsidRPr="00E466AF" w14:paraId="3985E9DA"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0F964643" w14:textId="77777777" w:rsidR="00B53308" w:rsidRPr="00E466AF" w:rsidRDefault="00B53308">
            <w:pPr>
              <w:pStyle w:val="NoSpacing"/>
              <w:spacing w:line="276" w:lineRule="auto"/>
              <w:jc w:val="both"/>
              <w:rPr>
                <w:rFonts w:ascii="Garamond" w:hAnsi="Garamond"/>
              </w:rPr>
            </w:pPr>
            <w:r w:rsidRPr="00E466AF">
              <w:rPr>
                <w:rFonts w:ascii="Garamond" w:hAnsi="Garamond"/>
              </w:rPr>
              <w:t>2</w:t>
            </w:r>
          </w:p>
        </w:tc>
        <w:tc>
          <w:tcPr>
            <w:tcW w:w="2701" w:type="dxa"/>
            <w:tcBorders>
              <w:top w:val="single" w:sz="4" w:space="0" w:color="000000"/>
              <w:left w:val="single" w:sz="4" w:space="0" w:color="000000"/>
              <w:bottom w:val="single" w:sz="4" w:space="0" w:color="000000"/>
              <w:right w:val="single" w:sz="4" w:space="0" w:color="000000"/>
            </w:tcBorders>
            <w:hideMark/>
          </w:tcPr>
          <w:p w14:paraId="13123868" w14:textId="77777777" w:rsidR="00B53308" w:rsidRPr="00E466AF" w:rsidRDefault="00B53308">
            <w:pPr>
              <w:pStyle w:val="NoSpacing"/>
              <w:spacing w:line="276" w:lineRule="auto"/>
              <w:jc w:val="both"/>
              <w:rPr>
                <w:rFonts w:ascii="Garamond" w:hAnsi="Garamond"/>
              </w:rPr>
            </w:pPr>
            <w:r w:rsidRPr="00E466AF">
              <w:rPr>
                <w:rFonts w:ascii="Garamond" w:hAnsi="Garamond"/>
              </w:rPr>
              <w:t>Ilmi DEDA</w:t>
            </w:r>
          </w:p>
        </w:tc>
        <w:tc>
          <w:tcPr>
            <w:tcW w:w="1800" w:type="dxa"/>
            <w:tcBorders>
              <w:top w:val="single" w:sz="4" w:space="0" w:color="000000"/>
              <w:left w:val="single" w:sz="4" w:space="0" w:color="000000"/>
              <w:bottom w:val="single" w:sz="4" w:space="0" w:color="000000"/>
              <w:right w:val="single" w:sz="4" w:space="0" w:color="000000"/>
            </w:tcBorders>
            <w:hideMark/>
          </w:tcPr>
          <w:p w14:paraId="3D0AACDF"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1976</w:t>
            </w:r>
          </w:p>
        </w:tc>
        <w:tc>
          <w:tcPr>
            <w:tcW w:w="1440" w:type="dxa"/>
            <w:tcBorders>
              <w:top w:val="single" w:sz="4" w:space="0" w:color="000000"/>
              <w:left w:val="single" w:sz="4" w:space="0" w:color="000000"/>
              <w:bottom w:val="single" w:sz="4" w:space="0" w:color="000000"/>
              <w:right w:val="single" w:sz="4" w:space="0" w:color="000000"/>
            </w:tcBorders>
            <w:hideMark/>
          </w:tcPr>
          <w:p w14:paraId="5D96BE9A" w14:textId="09A455D5" w:rsidR="00B53308" w:rsidRPr="00E466AF" w:rsidRDefault="0031511C" w:rsidP="0031511C">
            <w:pPr>
              <w:pStyle w:val="NoSpacing"/>
              <w:spacing w:line="276" w:lineRule="auto"/>
              <w:jc w:val="center"/>
              <w:rPr>
                <w:rFonts w:ascii="Garamond" w:hAnsi="Garamond"/>
              </w:rPr>
            </w:pPr>
            <w:r w:rsidRPr="00E466AF">
              <w:rPr>
                <w:rFonts w:ascii="Garamond" w:hAnsi="Garamond"/>
              </w:rPr>
              <w:t>shqiptare</w:t>
            </w:r>
          </w:p>
        </w:tc>
        <w:tc>
          <w:tcPr>
            <w:tcW w:w="1530" w:type="dxa"/>
            <w:tcBorders>
              <w:top w:val="single" w:sz="4" w:space="0" w:color="000000"/>
              <w:left w:val="single" w:sz="4" w:space="0" w:color="000000"/>
              <w:bottom w:val="single" w:sz="4" w:space="0" w:color="000000"/>
              <w:right w:val="single" w:sz="4" w:space="0" w:color="000000"/>
            </w:tcBorders>
            <w:hideMark/>
          </w:tcPr>
          <w:p w14:paraId="7B1B00BE" w14:textId="7D9CB91B" w:rsidR="00B53308" w:rsidRPr="00E466AF" w:rsidRDefault="00B53308" w:rsidP="0031511C">
            <w:pPr>
              <w:pStyle w:val="NoSpacing"/>
              <w:spacing w:line="276" w:lineRule="auto"/>
              <w:rPr>
                <w:rFonts w:ascii="Garamond" w:hAnsi="Garamond"/>
              </w:rPr>
            </w:pPr>
            <w:r w:rsidRPr="00E466AF">
              <w:rPr>
                <w:rFonts w:ascii="Garamond" w:hAnsi="Garamond"/>
              </w:rPr>
              <w:t>Tiranë</w:t>
            </w:r>
          </w:p>
        </w:tc>
        <w:tc>
          <w:tcPr>
            <w:tcW w:w="1620" w:type="dxa"/>
            <w:tcBorders>
              <w:top w:val="single" w:sz="4" w:space="0" w:color="000000"/>
              <w:left w:val="single" w:sz="4" w:space="0" w:color="000000"/>
              <w:bottom w:val="single" w:sz="4" w:space="0" w:color="000000"/>
              <w:right w:val="single" w:sz="4" w:space="0" w:color="000000"/>
            </w:tcBorders>
            <w:hideMark/>
          </w:tcPr>
          <w:p w14:paraId="55F88151"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D. Matlija</w:t>
            </w:r>
          </w:p>
        </w:tc>
      </w:tr>
      <w:tr w:rsidR="00B53308" w:rsidRPr="00E466AF" w14:paraId="630290FD"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61691979" w14:textId="77777777" w:rsidR="00B53308" w:rsidRPr="00E466AF" w:rsidRDefault="00B53308">
            <w:pPr>
              <w:pStyle w:val="NoSpacing"/>
              <w:spacing w:line="276" w:lineRule="auto"/>
              <w:jc w:val="both"/>
              <w:rPr>
                <w:rFonts w:ascii="Garamond" w:hAnsi="Garamond"/>
              </w:rPr>
            </w:pPr>
            <w:r w:rsidRPr="00E466AF">
              <w:rPr>
                <w:rFonts w:ascii="Garamond" w:hAnsi="Garamond"/>
              </w:rPr>
              <w:t>3</w:t>
            </w:r>
          </w:p>
        </w:tc>
        <w:tc>
          <w:tcPr>
            <w:tcW w:w="2701" w:type="dxa"/>
            <w:tcBorders>
              <w:top w:val="single" w:sz="4" w:space="0" w:color="000000"/>
              <w:left w:val="single" w:sz="4" w:space="0" w:color="000000"/>
              <w:bottom w:val="single" w:sz="4" w:space="0" w:color="000000"/>
              <w:right w:val="single" w:sz="4" w:space="0" w:color="000000"/>
            </w:tcBorders>
            <w:hideMark/>
          </w:tcPr>
          <w:p w14:paraId="18032986" w14:textId="358D7722" w:rsidR="00B53308" w:rsidRPr="00E466AF" w:rsidRDefault="00B53308" w:rsidP="00446F07">
            <w:pPr>
              <w:pStyle w:val="NoSpacing"/>
              <w:spacing w:line="276" w:lineRule="auto"/>
              <w:jc w:val="both"/>
              <w:rPr>
                <w:rFonts w:ascii="Garamond" w:hAnsi="Garamond"/>
                <w:vertAlign w:val="superscript"/>
              </w:rPr>
            </w:pPr>
            <w:r w:rsidRPr="00E466AF">
              <w:rPr>
                <w:rFonts w:ascii="Garamond" w:hAnsi="Garamond"/>
              </w:rPr>
              <w:t>Zabit DEDA</w:t>
            </w:r>
            <w:r w:rsidR="00446F07" w:rsidRPr="00446F07">
              <w:rPr>
                <w:rFonts w:ascii="Garamond" w:hAnsi="Garamond"/>
                <w:vertAlign w:val="superscript"/>
              </w:rPr>
              <w:t>*</w:t>
            </w:r>
            <w:r w:rsidRPr="00446F07">
              <w:rPr>
                <w:rStyle w:val="FootnoteReference"/>
                <w:rFonts w:ascii="Garamond" w:hAnsi="Garamond"/>
              </w:rPr>
              <w:footnoteReference w:id="2"/>
            </w:r>
          </w:p>
        </w:tc>
        <w:tc>
          <w:tcPr>
            <w:tcW w:w="1800" w:type="dxa"/>
            <w:tcBorders>
              <w:top w:val="single" w:sz="4" w:space="0" w:color="000000"/>
              <w:left w:val="single" w:sz="4" w:space="0" w:color="000000"/>
              <w:bottom w:val="single" w:sz="4" w:space="0" w:color="000000"/>
              <w:right w:val="single" w:sz="4" w:space="0" w:color="000000"/>
            </w:tcBorders>
            <w:hideMark/>
          </w:tcPr>
          <w:p w14:paraId="4C5CC91A"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1970</w:t>
            </w:r>
          </w:p>
        </w:tc>
        <w:tc>
          <w:tcPr>
            <w:tcW w:w="1440" w:type="dxa"/>
            <w:tcBorders>
              <w:top w:val="single" w:sz="4" w:space="0" w:color="000000"/>
              <w:left w:val="single" w:sz="4" w:space="0" w:color="000000"/>
              <w:bottom w:val="single" w:sz="4" w:space="0" w:color="000000"/>
              <w:right w:val="single" w:sz="4" w:space="0" w:color="000000"/>
            </w:tcBorders>
            <w:hideMark/>
          </w:tcPr>
          <w:p w14:paraId="1E9BD8F8" w14:textId="673A81C6" w:rsidR="00B53308" w:rsidRPr="00E466AF" w:rsidRDefault="0031511C" w:rsidP="0031511C">
            <w:pPr>
              <w:pStyle w:val="NoSpacing"/>
              <w:spacing w:line="276" w:lineRule="auto"/>
              <w:jc w:val="center"/>
              <w:rPr>
                <w:rFonts w:ascii="Garamond" w:hAnsi="Garamond"/>
              </w:rPr>
            </w:pPr>
            <w:r w:rsidRPr="00E466AF">
              <w:rPr>
                <w:rFonts w:ascii="Garamond" w:hAnsi="Garamond"/>
              </w:rPr>
              <w:t>shqiptare</w:t>
            </w:r>
          </w:p>
        </w:tc>
        <w:tc>
          <w:tcPr>
            <w:tcW w:w="1530" w:type="dxa"/>
            <w:tcBorders>
              <w:top w:val="single" w:sz="4" w:space="0" w:color="000000"/>
              <w:left w:val="single" w:sz="4" w:space="0" w:color="000000"/>
              <w:bottom w:val="single" w:sz="4" w:space="0" w:color="000000"/>
              <w:right w:val="single" w:sz="4" w:space="0" w:color="000000"/>
            </w:tcBorders>
            <w:hideMark/>
          </w:tcPr>
          <w:p w14:paraId="5BDF527F" w14:textId="00763507" w:rsidR="00B53308" w:rsidRPr="00E466AF" w:rsidRDefault="00B53308" w:rsidP="0031511C">
            <w:pPr>
              <w:pStyle w:val="NoSpacing"/>
              <w:spacing w:line="276" w:lineRule="auto"/>
              <w:rPr>
                <w:rFonts w:ascii="Garamond" w:hAnsi="Garamond"/>
              </w:rPr>
            </w:pPr>
            <w:r w:rsidRPr="00E466AF">
              <w:rPr>
                <w:rFonts w:ascii="Garamond" w:hAnsi="Garamond"/>
              </w:rPr>
              <w:t>Tiranë</w:t>
            </w:r>
          </w:p>
        </w:tc>
        <w:tc>
          <w:tcPr>
            <w:tcW w:w="1620" w:type="dxa"/>
            <w:tcBorders>
              <w:top w:val="single" w:sz="4" w:space="0" w:color="000000"/>
              <w:left w:val="single" w:sz="4" w:space="0" w:color="000000"/>
              <w:bottom w:val="single" w:sz="4" w:space="0" w:color="000000"/>
              <w:right w:val="single" w:sz="4" w:space="0" w:color="000000"/>
            </w:tcBorders>
            <w:hideMark/>
          </w:tcPr>
          <w:p w14:paraId="216CB904"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D. Matlija</w:t>
            </w:r>
          </w:p>
        </w:tc>
      </w:tr>
      <w:tr w:rsidR="00B53308" w:rsidRPr="00E466AF" w14:paraId="50CDBC36"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74811F23" w14:textId="77777777" w:rsidR="00B53308" w:rsidRPr="00E466AF" w:rsidRDefault="00B53308">
            <w:pPr>
              <w:pStyle w:val="NoSpacing"/>
              <w:spacing w:line="276" w:lineRule="auto"/>
              <w:jc w:val="both"/>
              <w:rPr>
                <w:rFonts w:ascii="Garamond" w:hAnsi="Garamond"/>
              </w:rPr>
            </w:pPr>
            <w:r w:rsidRPr="00E466AF">
              <w:rPr>
                <w:rFonts w:ascii="Garamond" w:hAnsi="Garamond"/>
              </w:rPr>
              <w:t>4</w:t>
            </w:r>
          </w:p>
        </w:tc>
        <w:tc>
          <w:tcPr>
            <w:tcW w:w="2701" w:type="dxa"/>
            <w:tcBorders>
              <w:top w:val="single" w:sz="4" w:space="0" w:color="000000"/>
              <w:left w:val="single" w:sz="4" w:space="0" w:color="000000"/>
              <w:bottom w:val="single" w:sz="4" w:space="0" w:color="000000"/>
              <w:right w:val="single" w:sz="4" w:space="0" w:color="000000"/>
            </w:tcBorders>
            <w:hideMark/>
          </w:tcPr>
          <w:p w14:paraId="18946AC4" w14:textId="77777777" w:rsidR="00B53308" w:rsidRPr="00E466AF" w:rsidRDefault="00B53308">
            <w:pPr>
              <w:pStyle w:val="NoSpacing"/>
              <w:spacing w:line="276" w:lineRule="auto"/>
              <w:jc w:val="both"/>
              <w:rPr>
                <w:rFonts w:ascii="Garamond" w:hAnsi="Garamond"/>
              </w:rPr>
            </w:pPr>
            <w:r w:rsidRPr="00E466AF">
              <w:rPr>
                <w:rFonts w:ascii="Garamond" w:hAnsi="Garamond"/>
              </w:rPr>
              <w:t xml:space="preserve">Mamude MYRTAJ </w:t>
            </w:r>
          </w:p>
        </w:tc>
        <w:tc>
          <w:tcPr>
            <w:tcW w:w="1800" w:type="dxa"/>
            <w:tcBorders>
              <w:top w:val="single" w:sz="4" w:space="0" w:color="000000"/>
              <w:left w:val="single" w:sz="4" w:space="0" w:color="000000"/>
              <w:bottom w:val="single" w:sz="4" w:space="0" w:color="000000"/>
              <w:right w:val="single" w:sz="4" w:space="0" w:color="000000"/>
            </w:tcBorders>
            <w:hideMark/>
          </w:tcPr>
          <w:p w14:paraId="10D0AE28"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1963</w:t>
            </w:r>
          </w:p>
        </w:tc>
        <w:tc>
          <w:tcPr>
            <w:tcW w:w="1440" w:type="dxa"/>
            <w:tcBorders>
              <w:top w:val="single" w:sz="4" w:space="0" w:color="000000"/>
              <w:left w:val="single" w:sz="4" w:space="0" w:color="000000"/>
              <w:bottom w:val="single" w:sz="4" w:space="0" w:color="000000"/>
              <w:right w:val="single" w:sz="4" w:space="0" w:color="000000"/>
            </w:tcBorders>
            <w:hideMark/>
          </w:tcPr>
          <w:p w14:paraId="30B5FCEA" w14:textId="4B862327" w:rsidR="00B53308" w:rsidRPr="00E466AF" w:rsidRDefault="0031511C" w:rsidP="0031511C">
            <w:pPr>
              <w:pStyle w:val="NoSpacing"/>
              <w:spacing w:line="276" w:lineRule="auto"/>
              <w:jc w:val="center"/>
              <w:rPr>
                <w:rFonts w:ascii="Garamond" w:hAnsi="Garamond"/>
              </w:rPr>
            </w:pPr>
            <w:r w:rsidRPr="00E466AF">
              <w:rPr>
                <w:rFonts w:ascii="Garamond" w:hAnsi="Garamond"/>
              </w:rPr>
              <w:t>shqiptare</w:t>
            </w:r>
          </w:p>
        </w:tc>
        <w:tc>
          <w:tcPr>
            <w:tcW w:w="1530" w:type="dxa"/>
            <w:tcBorders>
              <w:top w:val="single" w:sz="4" w:space="0" w:color="000000"/>
              <w:left w:val="single" w:sz="4" w:space="0" w:color="000000"/>
              <w:bottom w:val="single" w:sz="4" w:space="0" w:color="000000"/>
              <w:right w:val="single" w:sz="4" w:space="0" w:color="000000"/>
            </w:tcBorders>
            <w:hideMark/>
          </w:tcPr>
          <w:p w14:paraId="50B46251" w14:textId="51DCF687" w:rsidR="00B53308" w:rsidRPr="00E466AF" w:rsidRDefault="00B53308" w:rsidP="0031511C">
            <w:pPr>
              <w:pStyle w:val="NoSpacing"/>
              <w:spacing w:line="276" w:lineRule="auto"/>
              <w:rPr>
                <w:rFonts w:ascii="Garamond" w:hAnsi="Garamond"/>
              </w:rPr>
            </w:pPr>
            <w:r w:rsidRPr="00E466AF">
              <w:rPr>
                <w:rFonts w:ascii="Garamond" w:hAnsi="Garamond"/>
              </w:rPr>
              <w:t>Fier</w:t>
            </w:r>
          </w:p>
        </w:tc>
        <w:tc>
          <w:tcPr>
            <w:tcW w:w="1620" w:type="dxa"/>
            <w:tcBorders>
              <w:top w:val="single" w:sz="4" w:space="0" w:color="000000"/>
              <w:left w:val="single" w:sz="4" w:space="0" w:color="000000"/>
              <w:bottom w:val="single" w:sz="4" w:space="0" w:color="000000"/>
              <w:right w:val="single" w:sz="4" w:space="0" w:color="000000"/>
            </w:tcBorders>
            <w:hideMark/>
          </w:tcPr>
          <w:p w14:paraId="332C97F1"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D. Matlija</w:t>
            </w:r>
          </w:p>
        </w:tc>
      </w:tr>
      <w:tr w:rsidR="00B53308" w:rsidRPr="00E466AF" w14:paraId="714031E3"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7FBA3E47" w14:textId="77777777" w:rsidR="00B53308" w:rsidRPr="00E466AF" w:rsidRDefault="00B53308">
            <w:pPr>
              <w:pStyle w:val="NoSpacing"/>
              <w:spacing w:line="276" w:lineRule="auto"/>
              <w:jc w:val="both"/>
              <w:rPr>
                <w:rFonts w:ascii="Garamond" w:hAnsi="Garamond"/>
              </w:rPr>
            </w:pPr>
            <w:r w:rsidRPr="00E466AF">
              <w:rPr>
                <w:rFonts w:ascii="Garamond" w:hAnsi="Garamond"/>
              </w:rPr>
              <w:t>5</w:t>
            </w:r>
          </w:p>
        </w:tc>
        <w:tc>
          <w:tcPr>
            <w:tcW w:w="2701" w:type="dxa"/>
            <w:tcBorders>
              <w:top w:val="single" w:sz="4" w:space="0" w:color="000000"/>
              <w:left w:val="single" w:sz="4" w:space="0" w:color="000000"/>
              <w:bottom w:val="single" w:sz="4" w:space="0" w:color="000000"/>
              <w:right w:val="single" w:sz="4" w:space="0" w:color="000000"/>
            </w:tcBorders>
            <w:hideMark/>
          </w:tcPr>
          <w:p w14:paraId="26F421C1" w14:textId="77777777" w:rsidR="00B53308" w:rsidRPr="00E466AF" w:rsidRDefault="00B53308">
            <w:pPr>
              <w:pStyle w:val="NoSpacing"/>
              <w:spacing w:line="276" w:lineRule="auto"/>
              <w:jc w:val="both"/>
              <w:rPr>
                <w:rFonts w:ascii="Garamond" w:hAnsi="Garamond"/>
              </w:rPr>
            </w:pPr>
            <w:r w:rsidRPr="00E466AF">
              <w:rPr>
                <w:rFonts w:ascii="Garamond" w:hAnsi="Garamond"/>
              </w:rPr>
              <w:t>Alma RREDHI</w:t>
            </w:r>
          </w:p>
        </w:tc>
        <w:tc>
          <w:tcPr>
            <w:tcW w:w="1800" w:type="dxa"/>
            <w:tcBorders>
              <w:top w:val="single" w:sz="4" w:space="0" w:color="000000"/>
              <w:left w:val="single" w:sz="4" w:space="0" w:color="000000"/>
              <w:bottom w:val="single" w:sz="4" w:space="0" w:color="000000"/>
              <w:right w:val="single" w:sz="4" w:space="0" w:color="000000"/>
            </w:tcBorders>
            <w:hideMark/>
          </w:tcPr>
          <w:p w14:paraId="7EBFBB9B"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1975</w:t>
            </w:r>
          </w:p>
        </w:tc>
        <w:tc>
          <w:tcPr>
            <w:tcW w:w="1440" w:type="dxa"/>
            <w:tcBorders>
              <w:top w:val="single" w:sz="4" w:space="0" w:color="000000"/>
              <w:left w:val="single" w:sz="4" w:space="0" w:color="000000"/>
              <w:bottom w:val="single" w:sz="4" w:space="0" w:color="000000"/>
              <w:right w:val="single" w:sz="4" w:space="0" w:color="000000"/>
            </w:tcBorders>
            <w:hideMark/>
          </w:tcPr>
          <w:p w14:paraId="1C8D28FD" w14:textId="2849C4F4" w:rsidR="00B53308" w:rsidRPr="00E466AF" w:rsidRDefault="0031511C" w:rsidP="0031511C">
            <w:pPr>
              <w:pStyle w:val="NoSpacing"/>
              <w:spacing w:line="276" w:lineRule="auto"/>
              <w:jc w:val="center"/>
              <w:rPr>
                <w:rFonts w:ascii="Garamond" w:hAnsi="Garamond"/>
              </w:rPr>
            </w:pPr>
            <w:r w:rsidRPr="00E466AF">
              <w:rPr>
                <w:rFonts w:ascii="Garamond" w:hAnsi="Garamond"/>
              </w:rPr>
              <w:t>shqiptare</w:t>
            </w:r>
          </w:p>
        </w:tc>
        <w:tc>
          <w:tcPr>
            <w:tcW w:w="1530" w:type="dxa"/>
            <w:tcBorders>
              <w:top w:val="single" w:sz="4" w:space="0" w:color="000000"/>
              <w:left w:val="single" w:sz="4" w:space="0" w:color="000000"/>
              <w:bottom w:val="single" w:sz="4" w:space="0" w:color="000000"/>
              <w:right w:val="single" w:sz="4" w:space="0" w:color="000000"/>
            </w:tcBorders>
            <w:hideMark/>
          </w:tcPr>
          <w:p w14:paraId="6E6A392A" w14:textId="77777777" w:rsidR="00B53308" w:rsidRPr="00E466AF" w:rsidRDefault="00B53308" w:rsidP="0031511C">
            <w:pPr>
              <w:pStyle w:val="NoSpacing"/>
              <w:spacing w:line="276" w:lineRule="auto"/>
              <w:rPr>
                <w:rFonts w:ascii="Garamond" w:hAnsi="Garamond"/>
              </w:rPr>
            </w:pPr>
            <w:r w:rsidRPr="00E466AF">
              <w:rPr>
                <w:rFonts w:ascii="Garamond" w:hAnsi="Garamond"/>
              </w:rPr>
              <w:t>Fier</w:t>
            </w:r>
          </w:p>
        </w:tc>
        <w:tc>
          <w:tcPr>
            <w:tcW w:w="1620" w:type="dxa"/>
            <w:tcBorders>
              <w:top w:val="single" w:sz="4" w:space="0" w:color="000000"/>
              <w:left w:val="single" w:sz="4" w:space="0" w:color="000000"/>
              <w:bottom w:val="single" w:sz="4" w:space="0" w:color="000000"/>
              <w:right w:val="single" w:sz="4" w:space="0" w:color="000000"/>
            </w:tcBorders>
            <w:hideMark/>
          </w:tcPr>
          <w:p w14:paraId="7C1FF67E"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D. Matlija</w:t>
            </w:r>
          </w:p>
        </w:tc>
      </w:tr>
      <w:tr w:rsidR="00B53308" w:rsidRPr="00E466AF" w14:paraId="22EB986F"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46C6C3E1" w14:textId="77777777" w:rsidR="00B53308" w:rsidRPr="00E466AF" w:rsidRDefault="00B53308">
            <w:pPr>
              <w:pStyle w:val="NoSpacing"/>
              <w:spacing w:line="276" w:lineRule="auto"/>
              <w:jc w:val="both"/>
              <w:rPr>
                <w:rFonts w:ascii="Garamond" w:hAnsi="Garamond"/>
              </w:rPr>
            </w:pPr>
            <w:r w:rsidRPr="00E466AF">
              <w:rPr>
                <w:rFonts w:ascii="Garamond" w:hAnsi="Garamond"/>
              </w:rPr>
              <w:t>6</w:t>
            </w:r>
          </w:p>
        </w:tc>
        <w:tc>
          <w:tcPr>
            <w:tcW w:w="2701" w:type="dxa"/>
            <w:tcBorders>
              <w:top w:val="single" w:sz="4" w:space="0" w:color="000000"/>
              <w:left w:val="single" w:sz="4" w:space="0" w:color="000000"/>
              <w:bottom w:val="single" w:sz="4" w:space="0" w:color="000000"/>
              <w:right w:val="single" w:sz="4" w:space="0" w:color="000000"/>
            </w:tcBorders>
            <w:hideMark/>
          </w:tcPr>
          <w:p w14:paraId="525576AA" w14:textId="77777777" w:rsidR="00B53308" w:rsidRPr="00E466AF" w:rsidRDefault="00B53308">
            <w:pPr>
              <w:pStyle w:val="NoSpacing"/>
              <w:spacing w:line="276" w:lineRule="auto"/>
              <w:jc w:val="both"/>
              <w:rPr>
                <w:rFonts w:ascii="Garamond" w:hAnsi="Garamond"/>
                <w:vertAlign w:val="superscript"/>
              </w:rPr>
            </w:pPr>
            <w:r w:rsidRPr="00E466AF">
              <w:rPr>
                <w:rFonts w:ascii="Garamond" w:hAnsi="Garamond"/>
              </w:rPr>
              <w:t>Ana VEIZI</w:t>
            </w:r>
            <w:r w:rsidRPr="00E466AF">
              <w:rPr>
                <w:rFonts w:ascii="Garamond" w:hAnsi="Garamond"/>
                <w:vertAlign w:val="superscript"/>
              </w:rPr>
              <w:t>*</w:t>
            </w:r>
          </w:p>
        </w:tc>
        <w:tc>
          <w:tcPr>
            <w:tcW w:w="1800" w:type="dxa"/>
            <w:tcBorders>
              <w:top w:val="single" w:sz="4" w:space="0" w:color="000000"/>
              <w:left w:val="single" w:sz="4" w:space="0" w:color="000000"/>
              <w:bottom w:val="single" w:sz="4" w:space="0" w:color="000000"/>
              <w:right w:val="single" w:sz="4" w:space="0" w:color="000000"/>
            </w:tcBorders>
            <w:hideMark/>
          </w:tcPr>
          <w:p w14:paraId="33B62F20"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1999</w:t>
            </w:r>
          </w:p>
        </w:tc>
        <w:tc>
          <w:tcPr>
            <w:tcW w:w="1440" w:type="dxa"/>
            <w:tcBorders>
              <w:top w:val="single" w:sz="4" w:space="0" w:color="000000"/>
              <w:left w:val="single" w:sz="4" w:space="0" w:color="000000"/>
              <w:bottom w:val="single" w:sz="4" w:space="0" w:color="000000"/>
              <w:right w:val="single" w:sz="4" w:space="0" w:color="000000"/>
            </w:tcBorders>
            <w:hideMark/>
          </w:tcPr>
          <w:p w14:paraId="6F3AB085" w14:textId="21461635" w:rsidR="00B53308" w:rsidRPr="00E466AF" w:rsidRDefault="0031511C" w:rsidP="0031511C">
            <w:pPr>
              <w:pStyle w:val="NoSpacing"/>
              <w:spacing w:line="276" w:lineRule="auto"/>
              <w:jc w:val="center"/>
              <w:rPr>
                <w:rFonts w:ascii="Garamond" w:hAnsi="Garamond"/>
              </w:rPr>
            </w:pPr>
            <w:r w:rsidRPr="00E466AF">
              <w:rPr>
                <w:rFonts w:ascii="Garamond" w:hAnsi="Garamond"/>
              </w:rPr>
              <w:t>shqiptare</w:t>
            </w:r>
          </w:p>
        </w:tc>
        <w:tc>
          <w:tcPr>
            <w:tcW w:w="1530" w:type="dxa"/>
            <w:tcBorders>
              <w:top w:val="single" w:sz="4" w:space="0" w:color="000000"/>
              <w:left w:val="single" w:sz="4" w:space="0" w:color="000000"/>
              <w:bottom w:val="single" w:sz="4" w:space="0" w:color="000000"/>
              <w:right w:val="single" w:sz="4" w:space="0" w:color="000000"/>
            </w:tcBorders>
            <w:hideMark/>
          </w:tcPr>
          <w:p w14:paraId="3992CC9D" w14:textId="77777777" w:rsidR="00B53308" w:rsidRPr="00E466AF" w:rsidRDefault="00B53308" w:rsidP="0031511C">
            <w:pPr>
              <w:pStyle w:val="NoSpacing"/>
              <w:spacing w:line="276" w:lineRule="auto"/>
              <w:rPr>
                <w:rFonts w:ascii="Garamond" w:hAnsi="Garamond"/>
              </w:rPr>
            </w:pPr>
            <w:r w:rsidRPr="00E466AF">
              <w:rPr>
                <w:rFonts w:ascii="Garamond" w:hAnsi="Garamond"/>
              </w:rPr>
              <w:t>Fier</w:t>
            </w:r>
          </w:p>
        </w:tc>
        <w:tc>
          <w:tcPr>
            <w:tcW w:w="1620" w:type="dxa"/>
            <w:tcBorders>
              <w:top w:val="single" w:sz="4" w:space="0" w:color="000000"/>
              <w:left w:val="single" w:sz="4" w:space="0" w:color="000000"/>
              <w:bottom w:val="single" w:sz="4" w:space="0" w:color="000000"/>
              <w:right w:val="single" w:sz="4" w:space="0" w:color="000000"/>
            </w:tcBorders>
            <w:hideMark/>
          </w:tcPr>
          <w:p w14:paraId="4FC064E6"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D. Matlija</w:t>
            </w:r>
          </w:p>
        </w:tc>
      </w:tr>
      <w:tr w:rsidR="00B53308" w:rsidRPr="00E466AF" w14:paraId="71C3E1C6" w14:textId="77777777" w:rsidTr="00B53308">
        <w:tc>
          <w:tcPr>
            <w:tcW w:w="557" w:type="dxa"/>
            <w:tcBorders>
              <w:top w:val="single" w:sz="4" w:space="0" w:color="000000"/>
              <w:left w:val="single" w:sz="4" w:space="0" w:color="000000"/>
              <w:bottom w:val="single" w:sz="4" w:space="0" w:color="000000"/>
              <w:right w:val="single" w:sz="4" w:space="0" w:color="000000"/>
            </w:tcBorders>
            <w:hideMark/>
          </w:tcPr>
          <w:p w14:paraId="43439BBD" w14:textId="77777777" w:rsidR="00B53308" w:rsidRPr="00E466AF" w:rsidRDefault="00B53308">
            <w:pPr>
              <w:pStyle w:val="NoSpacing"/>
              <w:spacing w:line="276" w:lineRule="auto"/>
              <w:jc w:val="both"/>
              <w:rPr>
                <w:rFonts w:ascii="Garamond" w:hAnsi="Garamond"/>
              </w:rPr>
            </w:pPr>
            <w:r w:rsidRPr="00E466AF">
              <w:rPr>
                <w:rFonts w:ascii="Garamond" w:hAnsi="Garamond"/>
              </w:rPr>
              <w:t>7</w:t>
            </w:r>
          </w:p>
        </w:tc>
        <w:tc>
          <w:tcPr>
            <w:tcW w:w="2701" w:type="dxa"/>
            <w:tcBorders>
              <w:top w:val="single" w:sz="4" w:space="0" w:color="000000"/>
              <w:left w:val="single" w:sz="4" w:space="0" w:color="000000"/>
              <w:bottom w:val="single" w:sz="4" w:space="0" w:color="000000"/>
              <w:right w:val="single" w:sz="4" w:space="0" w:color="000000"/>
            </w:tcBorders>
            <w:hideMark/>
          </w:tcPr>
          <w:p w14:paraId="13BA6B18" w14:textId="77777777" w:rsidR="00B53308" w:rsidRPr="00E466AF" w:rsidRDefault="00B53308">
            <w:pPr>
              <w:pStyle w:val="NoSpacing"/>
              <w:spacing w:line="276" w:lineRule="auto"/>
              <w:jc w:val="both"/>
              <w:rPr>
                <w:rFonts w:ascii="Garamond" w:hAnsi="Garamond"/>
                <w:vertAlign w:val="superscript"/>
              </w:rPr>
            </w:pPr>
            <w:r w:rsidRPr="00E466AF">
              <w:rPr>
                <w:rFonts w:ascii="Garamond" w:hAnsi="Garamond"/>
              </w:rPr>
              <w:t>Klasjdi VEIZI</w:t>
            </w:r>
            <w:r w:rsidRPr="00E466AF">
              <w:rPr>
                <w:rFonts w:ascii="Garamond" w:hAnsi="Garamond"/>
                <w:vertAlign w:val="superscript"/>
              </w:rPr>
              <w:t>*</w:t>
            </w:r>
          </w:p>
        </w:tc>
        <w:tc>
          <w:tcPr>
            <w:tcW w:w="1800" w:type="dxa"/>
            <w:tcBorders>
              <w:top w:val="single" w:sz="4" w:space="0" w:color="000000"/>
              <w:left w:val="single" w:sz="4" w:space="0" w:color="000000"/>
              <w:bottom w:val="single" w:sz="4" w:space="0" w:color="000000"/>
              <w:right w:val="single" w:sz="4" w:space="0" w:color="000000"/>
            </w:tcBorders>
            <w:hideMark/>
          </w:tcPr>
          <w:p w14:paraId="71AB2B7E"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1996</w:t>
            </w:r>
          </w:p>
        </w:tc>
        <w:tc>
          <w:tcPr>
            <w:tcW w:w="1440" w:type="dxa"/>
            <w:tcBorders>
              <w:top w:val="single" w:sz="4" w:space="0" w:color="000000"/>
              <w:left w:val="single" w:sz="4" w:space="0" w:color="000000"/>
              <w:bottom w:val="single" w:sz="4" w:space="0" w:color="000000"/>
              <w:right w:val="single" w:sz="4" w:space="0" w:color="000000"/>
            </w:tcBorders>
            <w:hideMark/>
          </w:tcPr>
          <w:p w14:paraId="4EB06E51" w14:textId="4E7E80FA" w:rsidR="00B53308" w:rsidRPr="00E466AF" w:rsidRDefault="0031511C" w:rsidP="0031511C">
            <w:pPr>
              <w:pStyle w:val="NoSpacing"/>
              <w:spacing w:line="276" w:lineRule="auto"/>
              <w:jc w:val="center"/>
              <w:rPr>
                <w:rFonts w:ascii="Garamond" w:hAnsi="Garamond"/>
              </w:rPr>
            </w:pPr>
            <w:r w:rsidRPr="00E466AF">
              <w:rPr>
                <w:rFonts w:ascii="Garamond" w:hAnsi="Garamond"/>
              </w:rPr>
              <w:t>shqiptare</w:t>
            </w:r>
          </w:p>
        </w:tc>
        <w:tc>
          <w:tcPr>
            <w:tcW w:w="1530" w:type="dxa"/>
            <w:tcBorders>
              <w:top w:val="single" w:sz="4" w:space="0" w:color="000000"/>
              <w:left w:val="single" w:sz="4" w:space="0" w:color="000000"/>
              <w:bottom w:val="single" w:sz="4" w:space="0" w:color="000000"/>
              <w:right w:val="single" w:sz="4" w:space="0" w:color="000000"/>
            </w:tcBorders>
            <w:hideMark/>
          </w:tcPr>
          <w:p w14:paraId="618508D8" w14:textId="77777777" w:rsidR="00B53308" w:rsidRPr="00E466AF" w:rsidRDefault="00B53308" w:rsidP="0031511C">
            <w:pPr>
              <w:pStyle w:val="NoSpacing"/>
              <w:spacing w:line="276" w:lineRule="auto"/>
              <w:rPr>
                <w:rFonts w:ascii="Garamond" w:hAnsi="Garamond"/>
              </w:rPr>
            </w:pPr>
            <w:r w:rsidRPr="00E466AF">
              <w:rPr>
                <w:rFonts w:ascii="Garamond" w:hAnsi="Garamond"/>
              </w:rPr>
              <w:t>Fier</w:t>
            </w:r>
          </w:p>
        </w:tc>
        <w:tc>
          <w:tcPr>
            <w:tcW w:w="1620" w:type="dxa"/>
            <w:tcBorders>
              <w:top w:val="single" w:sz="4" w:space="0" w:color="000000"/>
              <w:left w:val="single" w:sz="4" w:space="0" w:color="000000"/>
              <w:bottom w:val="single" w:sz="4" w:space="0" w:color="000000"/>
              <w:right w:val="single" w:sz="4" w:space="0" w:color="000000"/>
            </w:tcBorders>
            <w:hideMark/>
          </w:tcPr>
          <w:p w14:paraId="47B12421" w14:textId="77777777" w:rsidR="00B53308" w:rsidRPr="00E466AF" w:rsidRDefault="00B53308" w:rsidP="0031511C">
            <w:pPr>
              <w:pStyle w:val="NoSpacing"/>
              <w:spacing w:line="276" w:lineRule="auto"/>
              <w:jc w:val="center"/>
              <w:rPr>
                <w:rFonts w:ascii="Garamond" w:hAnsi="Garamond"/>
              </w:rPr>
            </w:pPr>
            <w:r w:rsidRPr="00E466AF">
              <w:rPr>
                <w:rFonts w:ascii="Garamond" w:hAnsi="Garamond"/>
              </w:rPr>
              <w:t>D. Matlija</w:t>
            </w:r>
          </w:p>
        </w:tc>
      </w:tr>
    </w:tbl>
    <w:p w14:paraId="02B95654" w14:textId="77777777" w:rsidR="00B53308" w:rsidRPr="00E466AF" w:rsidRDefault="00B53308" w:rsidP="00B53308">
      <w:pPr>
        <w:pStyle w:val="NoSpacing"/>
        <w:spacing w:line="276" w:lineRule="auto"/>
        <w:jc w:val="both"/>
        <w:rPr>
          <w:b/>
        </w:rPr>
      </w:pPr>
    </w:p>
    <w:p w14:paraId="1B318F7D" w14:textId="77777777" w:rsidR="00B53308" w:rsidRPr="00E466AF" w:rsidRDefault="00B53308" w:rsidP="00B53308">
      <w:pPr>
        <w:spacing w:after="0" w:line="240" w:lineRule="auto"/>
        <w:rPr>
          <w:rFonts w:ascii="Garamond" w:hAnsi="Garamond"/>
          <w:sz w:val="24"/>
          <w:szCs w:val="24"/>
          <w:lang w:val="sq-AL"/>
        </w:rPr>
      </w:pPr>
    </w:p>
    <w:p w14:paraId="22257683" w14:textId="77777777" w:rsidR="00B70653" w:rsidRPr="00E466AF" w:rsidRDefault="00B70653" w:rsidP="00D5321D">
      <w:pPr>
        <w:rPr>
          <w:lang w:val="sq-AL"/>
        </w:rPr>
      </w:pPr>
    </w:p>
    <w:sectPr w:rsidR="00B70653" w:rsidRPr="00E46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10AB6" w14:textId="77777777" w:rsidR="00832399" w:rsidRDefault="00832399" w:rsidP="00B53308">
      <w:pPr>
        <w:spacing w:after="0" w:line="240" w:lineRule="auto"/>
      </w:pPr>
      <w:r>
        <w:separator/>
      </w:r>
    </w:p>
  </w:endnote>
  <w:endnote w:type="continuationSeparator" w:id="0">
    <w:p w14:paraId="46EDD14C" w14:textId="77777777" w:rsidR="00832399" w:rsidRDefault="00832399" w:rsidP="00B53308">
      <w:pPr>
        <w:spacing w:after="0" w:line="240" w:lineRule="auto"/>
      </w:pPr>
      <w:r>
        <w:continuationSeparator/>
      </w:r>
    </w:p>
  </w:endnote>
  <w:endnote w:type="continuationNotice" w:id="1">
    <w:p w14:paraId="41C64F82" w14:textId="77777777" w:rsidR="00832399" w:rsidRDefault="00832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2F35D" w14:textId="77777777" w:rsidR="00832399" w:rsidRDefault="00832399" w:rsidP="00B53308">
      <w:pPr>
        <w:spacing w:after="0" w:line="240" w:lineRule="auto"/>
      </w:pPr>
      <w:r>
        <w:separator/>
      </w:r>
    </w:p>
  </w:footnote>
  <w:footnote w:type="continuationSeparator" w:id="0">
    <w:p w14:paraId="2110C223" w14:textId="77777777" w:rsidR="00832399" w:rsidRDefault="00832399" w:rsidP="00B53308">
      <w:pPr>
        <w:spacing w:after="0" w:line="240" w:lineRule="auto"/>
      </w:pPr>
      <w:r>
        <w:continuationSeparator/>
      </w:r>
    </w:p>
  </w:footnote>
  <w:footnote w:type="continuationNotice" w:id="1">
    <w:p w14:paraId="2F5A34CA" w14:textId="77777777" w:rsidR="00832399" w:rsidRDefault="00832399">
      <w:pPr>
        <w:spacing w:after="0" w:line="240" w:lineRule="auto"/>
      </w:pPr>
    </w:p>
  </w:footnote>
  <w:footnote w:id="2">
    <w:p w14:paraId="575A6004" w14:textId="77777777" w:rsidR="00080829" w:rsidRDefault="00080829" w:rsidP="001510EE">
      <w:pPr>
        <w:pStyle w:val="NoSpacing"/>
        <w:jc w:val="both"/>
        <w:rPr>
          <w:rFonts w:ascii="Garamond" w:hAnsi="Garamond"/>
          <w:b/>
          <w:sz w:val="18"/>
          <w:szCs w:val="18"/>
        </w:rPr>
      </w:pPr>
      <w:r>
        <w:rPr>
          <w:rStyle w:val="FootnoteReference"/>
          <w:rFonts w:ascii="Garamond" w:hAnsi="Garamond"/>
          <w:sz w:val="18"/>
          <w:szCs w:val="18"/>
        </w:rPr>
        <w:footnoteRef/>
      </w:r>
      <w:r>
        <w:rPr>
          <w:rFonts w:ascii="Garamond" w:hAnsi="Garamond"/>
          <w:sz w:val="18"/>
          <w:szCs w:val="18"/>
        </w:rPr>
        <w:t xml:space="preserve"> Ankesat në lidhje me kërkuesit e specifikuar me një asterisk u kundërshtuan si të papranueshme duke qenë se në thelb ishin të njëjtat me ato në kërkesën nr. 16191/13. </w:t>
      </w:r>
    </w:p>
    <w:p w14:paraId="41224D60" w14:textId="77777777" w:rsidR="00080829" w:rsidRDefault="00080829" w:rsidP="00B5330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854F2"/>
    <w:multiLevelType w:val="hybridMultilevel"/>
    <w:tmpl w:val="ABCC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0F"/>
    <w:rsid w:val="00080829"/>
    <w:rsid w:val="001510EE"/>
    <w:rsid w:val="00154D48"/>
    <w:rsid w:val="00210378"/>
    <w:rsid w:val="002F4CFF"/>
    <w:rsid w:val="0031511C"/>
    <w:rsid w:val="00446F07"/>
    <w:rsid w:val="00807706"/>
    <w:rsid w:val="00832399"/>
    <w:rsid w:val="009E7600"/>
    <w:rsid w:val="00B53308"/>
    <w:rsid w:val="00B70653"/>
    <w:rsid w:val="00BF5287"/>
    <w:rsid w:val="00D4023A"/>
    <w:rsid w:val="00D5321D"/>
    <w:rsid w:val="00D9747E"/>
    <w:rsid w:val="00E466AF"/>
    <w:rsid w:val="00F0730F"/>
    <w:rsid w:val="00F3687F"/>
    <w:rsid w:val="00FB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semiHidden/>
    <w:locked/>
    <w:rsid w:val="00B53308"/>
    <w:rPr>
      <w:rFonts w:ascii="Times New Roman" w:eastAsia="MS Mincho" w:hAnsi="Times New Roman" w:cs="Times New Roman"/>
      <w:sz w:val="20"/>
      <w:szCs w:val="20"/>
      <w:lang w:val="sq-AL"/>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
    <w:basedOn w:val="Normal"/>
    <w:link w:val="FootnoteTextChar"/>
    <w:uiPriority w:val="99"/>
    <w:semiHidden/>
    <w:unhideWhenUsed/>
    <w:qFormat/>
    <w:rsid w:val="00B53308"/>
    <w:pPr>
      <w:spacing w:after="0" w:line="240" w:lineRule="auto"/>
      <w:ind w:firstLine="284"/>
      <w:jc w:val="both"/>
    </w:pPr>
    <w:rPr>
      <w:rFonts w:ascii="Times New Roman" w:eastAsia="MS Mincho" w:hAnsi="Times New Roman" w:cs="Times New Roman"/>
      <w:sz w:val="20"/>
      <w:szCs w:val="20"/>
      <w:lang w:val="sq-AL"/>
    </w:rPr>
  </w:style>
  <w:style w:type="character" w:customStyle="1" w:styleId="FootnoteTextChar1">
    <w:name w:val="Footnote Text Char1"/>
    <w:basedOn w:val="DefaultParagraphFont"/>
    <w:uiPriority w:val="99"/>
    <w:semiHidden/>
    <w:rsid w:val="00B53308"/>
    <w:rPr>
      <w:sz w:val="20"/>
      <w:szCs w:val="20"/>
    </w:rPr>
  </w:style>
  <w:style w:type="character" w:customStyle="1" w:styleId="NoSpacingChar">
    <w:name w:val="No Spacing Char"/>
    <w:basedOn w:val="DefaultParagraphFont"/>
    <w:link w:val="NoSpacing"/>
    <w:uiPriority w:val="1"/>
    <w:locked/>
    <w:rsid w:val="00B53308"/>
    <w:rPr>
      <w:rFonts w:ascii="Times New Roman" w:eastAsia="Times New Roman" w:hAnsi="Times New Roman" w:cs="Times New Roman"/>
      <w:sz w:val="24"/>
      <w:szCs w:val="24"/>
      <w:lang w:val="sq-AL"/>
    </w:rPr>
  </w:style>
  <w:style w:type="paragraph" w:styleId="NoSpacing">
    <w:name w:val="No Spacing"/>
    <w:link w:val="NoSpacingChar"/>
    <w:uiPriority w:val="1"/>
    <w:qFormat/>
    <w:rsid w:val="00B53308"/>
    <w:pPr>
      <w:spacing w:after="0" w:line="240" w:lineRule="auto"/>
    </w:pPr>
    <w:rPr>
      <w:rFonts w:ascii="Times New Roman" w:eastAsia="Times New Roman" w:hAnsi="Times New Roman" w:cs="Times New Roman"/>
      <w:sz w:val="24"/>
      <w:szCs w:val="24"/>
      <w:lang w:val="sq-AL"/>
    </w:rPr>
  </w:style>
  <w:style w:type="character" w:styleId="FootnoteReference">
    <w:name w:val="footnote reference"/>
    <w:aliases w:val="ftref,BVI fnr,16 Point,Superscript 6 Point,Fußnotenzeichen DISS,Footnote,Footnote symbol,Char1 Char Char Char Char,Odwołanie przypisu,fr,Appel note de bas de page,callout,Footnote Reference1,BVI fnr Char"/>
    <w:link w:val="FootnoteReferenceArial"/>
    <w:uiPriority w:val="99"/>
    <w:unhideWhenUsed/>
    <w:qFormat/>
    <w:rsid w:val="00B53308"/>
    <w:rPr>
      <w:vertAlign w:val="superscript"/>
    </w:rPr>
  </w:style>
  <w:style w:type="paragraph" w:customStyle="1" w:styleId="FootnoteReferenceArial">
    <w:name w:val="Footnote Reference Arial"/>
    <w:aliases w:val="Car Char Car Char Car Char Char Char Char Char Char Char,Footnote Refernece Char Char1,Footnote Refernece Char,Car Char Car Char Car Char Char Char Char Char Char Char Char1"/>
    <w:basedOn w:val="Normal"/>
    <w:link w:val="FootnoteReference"/>
    <w:uiPriority w:val="99"/>
    <w:rsid w:val="00B53308"/>
    <w:pPr>
      <w:spacing w:line="240" w:lineRule="exact"/>
    </w:pPr>
    <w:rPr>
      <w:vertAlign w:val="superscript"/>
    </w:rPr>
  </w:style>
  <w:style w:type="paragraph" w:styleId="Header">
    <w:name w:val="header"/>
    <w:basedOn w:val="Normal"/>
    <w:link w:val="HeaderChar"/>
    <w:uiPriority w:val="99"/>
    <w:semiHidden/>
    <w:unhideWhenUsed/>
    <w:rsid w:val="009E7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600"/>
  </w:style>
  <w:style w:type="paragraph" w:styleId="Footer">
    <w:name w:val="footer"/>
    <w:basedOn w:val="Normal"/>
    <w:link w:val="FooterChar"/>
    <w:uiPriority w:val="99"/>
    <w:semiHidden/>
    <w:unhideWhenUsed/>
    <w:rsid w:val="009E7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7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semiHidden/>
    <w:locked/>
    <w:rsid w:val="00B53308"/>
    <w:rPr>
      <w:rFonts w:ascii="Times New Roman" w:eastAsia="MS Mincho" w:hAnsi="Times New Roman" w:cs="Times New Roman"/>
      <w:sz w:val="20"/>
      <w:szCs w:val="20"/>
      <w:lang w:val="sq-AL"/>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
    <w:basedOn w:val="Normal"/>
    <w:link w:val="FootnoteTextChar"/>
    <w:uiPriority w:val="99"/>
    <w:semiHidden/>
    <w:unhideWhenUsed/>
    <w:qFormat/>
    <w:rsid w:val="00B53308"/>
    <w:pPr>
      <w:spacing w:after="0" w:line="240" w:lineRule="auto"/>
      <w:ind w:firstLine="284"/>
      <w:jc w:val="both"/>
    </w:pPr>
    <w:rPr>
      <w:rFonts w:ascii="Times New Roman" w:eastAsia="MS Mincho" w:hAnsi="Times New Roman" w:cs="Times New Roman"/>
      <w:sz w:val="20"/>
      <w:szCs w:val="20"/>
      <w:lang w:val="sq-AL"/>
    </w:rPr>
  </w:style>
  <w:style w:type="character" w:customStyle="1" w:styleId="FootnoteTextChar1">
    <w:name w:val="Footnote Text Char1"/>
    <w:basedOn w:val="DefaultParagraphFont"/>
    <w:uiPriority w:val="99"/>
    <w:semiHidden/>
    <w:rsid w:val="00B53308"/>
    <w:rPr>
      <w:sz w:val="20"/>
      <w:szCs w:val="20"/>
    </w:rPr>
  </w:style>
  <w:style w:type="character" w:customStyle="1" w:styleId="NoSpacingChar">
    <w:name w:val="No Spacing Char"/>
    <w:basedOn w:val="DefaultParagraphFont"/>
    <w:link w:val="NoSpacing"/>
    <w:uiPriority w:val="1"/>
    <w:locked/>
    <w:rsid w:val="00B53308"/>
    <w:rPr>
      <w:rFonts w:ascii="Times New Roman" w:eastAsia="Times New Roman" w:hAnsi="Times New Roman" w:cs="Times New Roman"/>
      <w:sz w:val="24"/>
      <w:szCs w:val="24"/>
      <w:lang w:val="sq-AL"/>
    </w:rPr>
  </w:style>
  <w:style w:type="paragraph" w:styleId="NoSpacing">
    <w:name w:val="No Spacing"/>
    <w:link w:val="NoSpacingChar"/>
    <w:uiPriority w:val="1"/>
    <w:qFormat/>
    <w:rsid w:val="00B53308"/>
    <w:pPr>
      <w:spacing w:after="0" w:line="240" w:lineRule="auto"/>
    </w:pPr>
    <w:rPr>
      <w:rFonts w:ascii="Times New Roman" w:eastAsia="Times New Roman" w:hAnsi="Times New Roman" w:cs="Times New Roman"/>
      <w:sz w:val="24"/>
      <w:szCs w:val="24"/>
      <w:lang w:val="sq-AL"/>
    </w:rPr>
  </w:style>
  <w:style w:type="character" w:styleId="FootnoteReference">
    <w:name w:val="footnote reference"/>
    <w:aliases w:val="ftref,BVI fnr,16 Point,Superscript 6 Point,Fußnotenzeichen DISS,Footnote,Footnote symbol,Char1 Char Char Char Char,Odwołanie przypisu,fr,Appel note de bas de page,callout,Footnote Reference1,BVI fnr Char"/>
    <w:link w:val="FootnoteReferenceArial"/>
    <w:uiPriority w:val="99"/>
    <w:unhideWhenUsed/>
    <w:qFormat/>
    <w:rsid w:val="00B53308"/>
    <w:rPr>
      <w:vertAlign w:val="superscript"/>
    </w:rPr>
  </w:style>
  <w:style w:type="paragraph" w:customStyle="1" w:styleId="FootnoteReferenceArial">
    <w:name w:val="Footnote Reference Arial"/>
    <w:aliases w:val="Car Char Car Char Car Char Char Char Char Char Char Char,Footnote Refernece Char Char1,Footnote Refernece Char,Car Char Car Char Car Char Char Char Char Char Char Char Char1"/>
    <w:basedOn w:val="Normal"/>
    <w:link w:val="FootnoteReference"/>
    <w:uiPriority w:val="99"/>
    <w:rsid w:val="00B53308"/>
    <w:pPr>
      <w:spacing w:line="240" w:lineRule="exact"/>
    </w:pPr>
    <w:rPr>
      <w:vertAlign w:val="superscript"/>
    </w:rPr>
  </w:style>
  <w:style w:type="paragraph" w:styleId="Header">
    <w:name w:val="header"/>
    <w:basedOn w:val="Normal"/>
    <w:link w:val="HeaderChar"/>
    <w:uiPriority w:val="99"/>
    <w:semiHidden/>
    <w:unhideWhenUsed/>
    <w:rsid w:val="009E7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600"/>
  </w:style>
  <w:style w:type="paragraph" w:styleId="Footer">
    <w:name w:val="footer"/>
    <w:basedOn w:val="Normal"/>
    <w:link w:val="FooterChar"/>
    <w:uiPriority w:val="99"/>
    <w:semiHidden/>
    <w:unhideWhenUsed/>
    <w:rsid w:val="009E7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62907-16</Nr_x002e__x0020_akti>
    <Data_x0020_e_x0020_Krijimit xmlns="0e656187-b300-4fb0-8bf4-3a50f872073c">2019-04-25T09:00:56Z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2019-04-22T22:00:00Z</Date_x0020_protokolli>
    <Titulli xmlns="0e656187-b300-4fb0-8bf4-3a50f872073c">Vendim çështja Myrtaj dhe të tjerë kundër Shqipërisë</Titulli>
    <Modifikuesi xmlns="0e656187-b300-4fb0-8bf4-3a50f872073c">Amarilda.Halilaj</Modifikuesi>
    <Nr_x002e__x0020_prot_x0020_QBZ xmlns="0e656187-b300-4fb0-8bf4-3a50f872073c">634</Nr_x002e__x0020_prot_x0020_QBZ>
    <Data_x0020_e_x0020_Modifikimit xmlns="0e656187-b300-4fb0-8bf4-3a50f872073c">2019-04-25T12:34:06Z</Data_x0020_e_x0020_Modifikimit>
    <Dekretuar xmlns="0e656187-b300-4fb0-8bf4-3a50f872073c">false</Dekretuar>
    <Data xmlns="0e656187-b300-4fb0-8bf4-3a50f872073c">2019-03-04T23:00:00Z</Data>
    <Nr_x002e__x0020_protokolli_x0020_i_x0020_aktit xmlns="0e656187-b300-4fb0-8bf4-3a50f872073c">3240/1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0242457E4EC24166AFAC9E57B1D0850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Akt ligjor" ma:contentTypeID="0x0101000242457E4EC24166AFAC9E57B1D0850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FC4AB-51C3-45DD-8B90-51F78937C105}">
  <ds:schemaRefs>
    <ds:schemaRef ds:uri="http://schemas.microsoft.com/sharepoint/v3/contenttype/forms"/>
  </ds:schemaRefs>
</ds:datastoreItem>
</file>

<file path=customXml/itemProps2.xml><?xml version="1.0" encoding="utf-8"?>
<ds:datastoreItem xmlns:ds="http://schemas.openxmlformats.org/officeDocument/2006/customXml" ds:itemID="{7A184538-8987-455F-B452-074A127BC1CE}">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267273A0-F8D3-44FC-BF94-6684BE87C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5937AE-4894-42FD-8870-BC55AB644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8A15898-A1A7-4CA3-BED6-625BAD36F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Vendim çështja Myrtaj dhe të tjerë kundër Shqipërisë</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Vendim çështja Myrtaj dhe të tjerë kundër Shqipërisë</dc:title>
  <dc:creator>Entela Suli</dc:creator>
  <cp:lastModifiedBy>Jonida Zaharia</cp:lastModifiedBy>
  <cp:revision>2</cp:revision>
  <dcterms:created xsi:type="dcterms:W3CDTF">2024-03-12T13:42:00Z</dcterms:created>
  <dcterms:modified xsi:type="dcterms:W3CDTF">2024-03-12T13:42:00Z</dcterms:modified>
</cp:coreProperties>
</file>