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68198" w14:textId="77777777" w:rsidR="00E62C3F" w:rsidRPr="00005855" w:rsidRDefault="005A7344" w:rsidP="00FB492D">
      <w:pPr>
        <w:jc w:val="center"/>
        <w:rPr>
          <w:rFonts w:ascii="Garamond" w:hAnsi="Garamond"/>
        </w:rPr>
      </w:pPr>
      <w:bookmarkStart w:id="0" w:name="_GoBack"/>
      <w:bookmarkEnd w:id="0"/>
      <w:r w:rsidRPr="00005855">
        <w:rPr>
          <w:rFonts w:ascii="Garamond" w:hAnsi="Garamond"/>
        </w:rPr>
        <w:t>GJYKATA EVROPIANE E TË DREJTAVE TË NJERIUT</w:t>
      </w:r>
    </w:p>
    <w:p w14:paraId="37668199" w14:textId="77777777" w:rsidR="00A31CDC" w:rsidRPr="00005855" w:rsidRDefault="00A31CDC" w:rsidP="00FB492D">
      <w:pPr>
        <w:jc w:val="center"/>
        <w:rPr>
          <w:rFonts w:ascii="Garamond" w:hAnsi="Garamond"/>
        </w:rPr>
      </w:pPr>
    </w:p>
    <w:p w14:paraId="3766819B" w14:textId="77777777" w:rsidR="00BA0F55" w:rsidRPr="00005855" w:rsidRDefault="005A7344" w:rsidP="00FB492D">
      <w:pPr>
        <w:jc w:val="center"/>
        <w:rPr>
          <w:rFonts w:ascii="Garamond" w:hAnsi="Garamond"/>
        </w:rPr>
      </w:pPr>
      <w:bookmarkStart w:id="1" w:name="bookmark0"/>
      <w:r w:rsidRPr="00005855">
        <w:rPr>
          <w:rFonts w:ascii="Garamond" w:hAnsi="Garamond"/>
        </w:rPr>
        <w:t>SEKSIONI I TRETË</w:t>
      </w:r>
      <w:bookmarkEnd w:id="1"/>
    </w:p>
    <w:p w14:paraId="3766819C" w14:textId="77777777" w:rsidR="002E3676" w:rsidRPr="00005855" w:rsidRDefault="002E3676" w:rsidP="00FB492D">
      <w:pPr>
        <w:jc w:val="center"/>
        <w:rPr>
          <w:rFonts w:ascii="Garamond" w:hAnsi="Garamond"/>
        </w:rPr>
      </w:pPr>
    </w:p>
    <w:p w14:paraId="3766819D" w14:textId="77777777" w:rsidR="00E62C3F" w:rsidRPr="00005855" w:rsidRDefault="005A7344" w:rsidP="00FB492D">
      <w:pPr>
        <w:jc w:val="center"/>
        <w:rPr>
          <w:rFonts w:ascii="Garamond" w:hAnsi="Garamond"/>
        </w:rPr>
      </w:pPr>
      <w:bookmarkStart w:id="2" w:name="bookmark1"/>
      <w:r w:rsidRPr="00005855">
        <w:rPr>
          <w:rFonts w:ascii="Garamond" w:hAnsi="Garamond"/>
        </w:rPr>
        <w:t>VENDIM</w:t>
      </w:r>
      <w:bookmarkEnd w:id="2"/>
    </w:p>
    <w:p w14:paraId="3766819E" w14:textId="77777777" w:rsidR="00BA0F55" w:rsidRPr="008361A6" w:rsidRDefault="00BA0F55" w:rsidP="00FB492D">
      <w:pPr>
        <w:jc w:val="center"/>
        <w:rPr>
          <w:rFonts w:ascii="Garamond" w:hAnsi="Garamond"/>
          <w:b/>
        </w:rPr>
      </w:pPr>
    </w:p>
    <w:p w14:paraId="3766819F" w14:textId="14018948" w:rsidR="00BA0F55" w:rsidRPr="00005855" w:rsidRDefault="005A7344" w:rsidP="00FB492D">
      <w:pPr>
        <w:jc w:val="center"/>
        <w:rPr>
          <w:rFonts w:ascii="Garamond" w:hAnsi="Garamond"/>
        </w:rPr>
      </w:pPr>
      <w:r w:rsidRPr="00005855">
        <w:rPr>
          <w:rFonts w:ascii="Garamond" w:hAnsi="Garamond"/>
        </w:rPr>
        <w:t xml:space="preserve">Kërkesa </w:t>
      </w:r>
      <w:r w:rsidR="00567282" w:rsidRPr="00005855">
        <w:rPr>
          <w:rFonts w:ascii="Garamond" w:hAnsi="Garamond"/>
        </w:rPr>
        <w:t>n</w:t>
      </w:r>
      <w:r w:rsidRPr="00005855">
        <w:rPr>
          <w:rFonts w:ascii="Garamond" w:hAnsi="Garamond"/>
        </w:rPr>
        <w:t>r. 7576317</w:t>
      </w:r>
    </w:p>
    <w:p w14:paraId="376681A1" w14:textId="03AFD53B" w:rsidR="00E62C3F" w:rsidRPr="00005855" w:rsidRDefault="00005855" w:rsidP="00005855">
      <w:pPr>
        <w:jc w:val="center"/>
        <w:rPr>
          <w:rFonts w:ascii="Garamond" w:hAnsi="Garamond"/>
          <w:i/>
        </w:rPr>
      </w:pPr>
      <w:r w:rsidRPr="00005855">
        <w:rPr>
          <w:rFonts w:ascii="Garamond" w:hAnsi="Garamond"/>
          <w:i/>
        </w:rPr>
        <w:t xml:space="preserve">Fatbardh </w:t>
      </w:r>
      <w:proofErr w:type="spellStart"/>
      <w:r w:rsidRPr="00005855">
        <w:rPr>
          <w:rFonts w:ascii="Garamond" w:hAnsi="Garamond"/>
          <w:i/>
        </w:rPr>
        <w:t>Budo</w:t>
      </w:r>
      <w:proofErr w:type="spellEnd"/>
      <w:r w:rsidRPr="00005855">
        <w:rPr>
          <w:rFonts w:ascii="Garamond" w:hAnsi="Garamond"/>
          <w:i/>
        </w:rPr>
        <w:t xml:space="preserve"> kundër Shqipërisë</w:t>
      </w:r>
    </w:p>
    <w:p w14:paraId="376681A2" w14:textId="77777777" w:rsidR="00BA0F55" w:rsidRPr="00FB492D" w:rsidRDefault="00BA0F55" w:rsidP="00FB492D">
      <w:pPr>
        <w:ind w:firstLine="284"/>
        <w:jc w:val="both"/>
        <w:rPr>
          <w:rFonts w:ascii="Garamond" w:hAnsi="Garamond"/>
        </w:rPr>
      </w:pPr>
    </w:p>
    <w:p w14:paraId="376681A3" w14:textId="19FC4482" w:rsidR="00E62C3F" w:rsidRPr="00FB492D" w:rsidRDefault="005A7344" w:rsidP="00FB492D">
      <w:pPr>
        <w:ind w:firstLine="284"/>
        <w:jc w:val="both"/>
        <w:rPr>
          <w:rFonts w:ascii="Garamond" w:hAnsi="Garamond"/>
        </w:rPr>
      </w:pPr>
      <w:r w:rsidRPr="00FB492D">
        <w:rPr>
          <w:rFonts w:ascii="Garamond" w:hAnsi="Garamond"/>
        </w:rPr>
        <w:t>Gjykata Evropiane e të Drejtave të Njeriut (Seksioni i Tretë), e mbledhur në datën 12 janar 2021</w:t>
      </w:r>
      <w:r w:rsidR="00567282">
        <w:rPr>
          <w:rFonts w:ascii="Garamond" w:hAnsi="Garamond"/>
        </w:rPr>
        <w:t>,</w:t>
      </w:r>
      <w:r w:rsidRPr="00FB492D">
        <w:rPr>
          <w:rFonts w:ascii="Garamond" w:hAnsi="Garamond"/>
        </w:rPr>
        <w:t xml:space="preserve"> si Komitet i përbërë nga:</w:t>
      </w:r>
    </w:p>
    <w:p w14:paraId="376681A4" w14:textId="5F12C119" w:rsidR="00E62C3F" w:rsidRPr="00FB492D" w:rsidRDefault="005A7344" w:rsidP="00FB492D">
      <w:pPr>
        <w:ind w:firstLine="284"/>
        <w:jc w:val="both"/>
        <w:rPr>
          <w:rFonts w:ascii="Garamond" w:hAnsi="Garamond"/>
        </w:rPr>
      </w:pPr>
      <w:proofErr w:type="spellStart"/>
      <w:r w:rsidRPr="00FB492D">
        <w:rPr>
          <w:rFonts w:ascii="Garamond" w:hAnsi="Garamond"/>
        </w:rPr>
        <w:t>Dmitry</w:t>
      </w:r>
      <w:proofErr w:type="spellEnd"/>
      <w:r w:rsidRPr="00FB492D">
        <w:rPr>
          <w:rFonts w:ascii="Garamond" w:hAnsi="Garamond"/>
        </w:rPr>
        <w:t xml:space="preserve"> </w:t>
      </w:r>
      <w:proofErr w:type="spellStart"/>
      <w:r w:rsidRPr="00FB492D">
        <w:rPr>
          <w:rFonts w:ascii="Garamond" w:hAnsi="Garamond"/>
        </w:rPr>
        <w:t>Dedov</w:t>
      </w:r>
      <w:proofErr w:type="spellEnd"/>
      <w:r w:rsidRPr="00FB492D">
        <w:rPr>
          <w:rFonts w:ascii="Garamond" w:hAnsi="Garamond"/>
        </w:rPr>
        <w:t xml:space="preserve">, </w:t>
      </w:r>
      <w:r w:rsidR="00567282">
        <w:rPr>
          <w:rFonts w:ascii="Garamond" w:hAnsi="Garamond"/>
        </w:rPr>
        <w:t>p</w:t>
      </w:r>
      <w:r w:rsidRPr="00FB492D">
        <w:rPr>
          <w:rFonts w:ascii="Garamond" w:hAnsi="Garamond"/>
        </w:rPr>
        <w:t>resident,</w:t>
      </w:r>
    </w:p>
    <w:p w14:paraId="376681A5" w14:textId="77777777" w:rsidR="00E62C3F" w:rsidRPr="00FB492D" w:rsidRDefault="005A7344" w:rsidP="00FB492D">
      <w:pPr>
        <w:ind w:firstLine="284"/>
        <w:jc w:val="both"/>
        <w:rPr>
          <w:rFonts w:ascii="Garamond" w:hAnsi="Garamond"/>
        </w:rPr>
      </w:pPr>
      <w:proofErr w:type="spellStart"/>
      <w:r w:rsidRPr="00FB492D">
        <w:rPr>
          <w:rFonts w:ascii="Garamond" w:hAnsi="Garamond"/>
        </w:rPr>
        <w:t>Darian</w:t>
      </w:r>
      <w:proofErr w:type="spellEnd"/>
      <w:r w:rsidRPr="00FB492D">
        <w:rPr>
          <w:rFonts w:ascii="Garamond" w:hAnsi="Garamond"/>
        </w:rPr>
        <w:t xml:space="preserve"> </w:t>
      </w:r>
      <w:proofErr w:type="spellStart"/>
      <w:r w:rsidRPr="00FB492D">
        <w:rPr>
          <w:rFonts w:ascii="Garamond" w:hAnsi="Garamond"/>
        </w:rPr>
        <w:t>Pavli</w:t>
      </w:r>
      <w:proofErr w:type="spellEnd"/>
      <w:r w:rsidRPr="00FB492D">
        <w:rPr>
          <w:rFonts w:ascii="Garamond" w:hAnsi="Garamond"/>
        </w:rPr>
        <w:t>,</w:t>
      </w:r>
    </w:p>
    <w:p w14:paraId="376681A6" w14:textId="77777777" w:rsidR="00E62C3F" w:rsidRPr="00FB492D" w:rsidRDefault="00BA0F55" w:rsidP="00FB492D">
      <w:pPr>
        <w:ind w:firstLine="284"/>
        <w:jc w:val="both"/>
        <w:rPr>
          <w:rFonts w:ascii="Garamond" w:hAnsi="Garamond"/>
        </w:rPr>
      </w:pPr>
      <w:proofErr w:type="spellStart"/>
      <w:r w:rsidRPr="00FB492D">
        <w:rPr>
          <w:rFonts w:ascii="Garamond" w:hAnsi="Garamond"/>
        </w:rPr>
        <w:t>Peter</w:t>
      </w:r>
      <w:proofErr w:type="spellEnd"/>
      <w:r w:rsidRPr="00FB492D">
        <w:rPr>
          <w:rFonts w:ascii="Garamond" w:hAnsi="Garamond"/>
        </w:rPr>
        <w:t xml:space="preserve"> </w:t>
      </w:r>
      <w:proofErr w:type="spellStart"/>
      <w:r w:rsidRPr="00FB492D">
        <w:rPr>
          <w:rFonts w:ascii="Garamond" w:hAnsi="Garamond"/>
        </w:rPr>
        <w:t>Roosma</w:t>
      </w:r>
      <w:proofErr w:type="spellEnd"/>
      <w:r w:rsidRPr="00FB492D">
        <w:rPr>
          <w:rFonts w:ascii="Garamond" w:hAnsi="Garamond"/>
        </w:rPr>
        <w:t>, gjykatës,</w:t>
      </w:r>
    </w:p>
    <w:p w14:paraId="376681A7" w14:textId="4449E144" w:rsidR="00E62C3F" w:rsidRPr="00FB492D" w:rsidRDefault="00567282" w:rsidP="00FB492D">
      <w:pPr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5A7344" w:rsidRPr="00FB492D">
        <w:rPr>
          <w:rFonts w:ascii="Garamond" w:hAnsi="Garamond"/>
        </w:rPr>
        <w:t xml:space="preserve">he </w:t>
      </w:r>
      <w:proofErr w:type="spellStart"/>
      <w:r w:rsidR="005A7344" w:rsidRPr="00FB492D">
        <w:rPr>
          <w:rFonts w:ascii="Garamond" w:hAnsi="Garamond"/>
        </w:rPr>
        <w:t>Olga</w:t>
      </w:r>
      <w:proofErr w:type="spellEnd"/>
      <w:r w:rsidR="005A7344" w:rsidRPr="00FB492D">
        <w:rPr>
          <w:rFonts w:ascii="Garamond" w:hAnsi="Garamond"/>
        </w:rPr>
        <w:t xml:space="preserve"> </w:t>
      </w:r>
      <w:proofErr w:type="spellStart"/>
      <w:r w:rsidR="005A7344" w:rsidRPr="00FB492D">
        <w:rPr>
          <w:rFonts w:ascii="Garamond" w:hAnsi="Garamond"/>
        </w:rPr>
        <w:t>Chernishova</w:t>
      </w:r>
      <w:proofErr w:type="spellEnd"/>
      <w:r w:rsidR="005A7344" w:rsidRPr="00FB492D">
        <w:rPr>
          <w:rFonts w:ascii="Garamond" w:hAnsi="Garamond"/>
        </w:rPr>
        <w:t xml:space="preserve">, </w:t>
      </w:r>
      <w:r w:rsidR="00005855" w:rsidRPr="00FB492D">
        <w:rPr>
          <w:rFonts w:ascii="Garamond" w:hAnsi="Garamond"/>
        </w:rPr>
        <w:t>zëvendës regjistruese e seksionit</w:t>
      </w:r>
      <w:r w:rsidR="005A7344" w:rsidRPr="00FB492D">
        <w:rPr>
          <w:rFonts w:ascii="Garamond" w:hAnsi="Garamond"/>
        </w:rPr>
        <w:t>,</w:t>
      </w:r>
    </w:p>
    <w:p w14:paraId="376681A8" w14:textId="581A5324" w:rsidR="00E62C3F" w:rsidRPr="00FB492D" w:rsidRDefault="00567282" w:rsidP="00FB492D">
      <w:pPr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5A7344" w:rsidRPr="00FB492D">
        <w:rPr>
          <w:rFonts w:ascii="Garamond" w:hAnsi="Garamond"/>
        </w:rPr>
        <w:t xml:space="preserve">uke pasur parasysh kërkesën e mësipërme të depozituar në datën 18 tetor 2017, </w:t>
      </w:r>
      <w:r>
        <w:rPr>
          <w:rFonts w:ascii="Garamond" w:hAnsi="Garamond"/>
        </w:rPr>
        <w:t>d</w:t>
      </w:r>
      <w:r w:rsidR="005A7344" w:rsidRPr="00FB492D">
        <w:rPr>
          <w:rFonts w:ascii="Garamond" w:hAnsi="Garamond"/>
        </w:rPr>
        <w:t>uke pasur parasysh deklaratat zyrtare që pranojnë një zgjidhje me mirëkuptim të çështjes,</w:t>
      </w:r>
    </w:p>
    <w:p w14:paraId="376681A9" w14:textId="5110AAEC" w:rsidR="00E62C3F" w:rsidRPr="00FB492D" w:rsidRDefault="00567282" w:rsidP="00FB492D">
      <w:pPr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5A7344" w:rsidRPr="00FB492D">
        <w:rPr>
          <w:rFonts w:ascii="Garamond" w:hAnsi="Garamond"/>
        </w:rPr>
        <w:t>as shqyrtimit të çështjes, vendos si më poshtë:</w:t>
      </w:r>
    </w:p>
    <w:p w14:paraId="376681AA" w14:textId="77777777" w:rsidR="00BA0F55" w:rsidRPr="00FB492D" w:rsidRDefault="00BA0F55" w:rsidP="00FB492D">
      <w:pPr>
        <w:ind w:firstLine="284"/>
        <w:jc w:val="both"/>
        <w:rPr>
          <w:rFonts w:ascii="Garamond" w:hAnsi="Garamond"/>
        </w:rPr>
      </w:pPr>
    </w:p>
    <w:p w14:paraId="376681AB" w14:textId="77777777" w:rsidR="00E62C3F" w:rsidRPr="00567282" w:rsidRDefault="005A7344" w:rsidP="00FB492D">
      <w:pPr>
        <w:ind w:firstLine="284"/>
        <w:jc w:val="both"/>
        <w:rPr>
          <w:rFonts w:ascii="Garamond" w:hAnsi="Garamond"/>
        </w:rPr>
      </w:pPr>
      <w:bookmarkStart w:id="3" w:name="bookmark2"/>
      <w:r w:rsidRPr="00567282">
        <w:rPr>
          <w:rFonts w:ascii="Garamond" w:hAnsi="Garamond"/>
        </w:rPr>
        <w:t>FAKTET DHE PROCEDURA</w:t>
      </w:r>
      <w:bookmarkEnd w:id="3"/>
    </w:p>
    <w:p w14:paraId="376681AD" w14:textId="65B375D2" w:rsidR="00E62C3F" w:rsidRPr="00FB492D" w:rsidRDefault="00FB492D" w:rsidP="00FB492D">
      <w:pPr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="005A7344" w:rsidRPr="00FB492D">
        <w:rPr>
          <w:rFonts w:ascii="Garamond" w:hAnsi="Garamond"/>
        </w:rPr>
        <w:t xml:space="preserve">Kërkuesi, </w:t>
      </w:r>
      <w:r w:rsidR="00567282">
        <w:rPr>
          <w:rFonts w:ascii="Garamond" w:hAnsi="Garamond"/>
        </w:rPr>
        <w:t>z</w:t>
      </w:r>
      <w:r w:rsidR="005A7344" w:rsidRPr="00FB492D">
        <w:rPr>
          <w:rFonts w:ascii="Garamond" w:hAnsi="Garamond"/>
        </w:rPr>
        <w:t xml:space="preserve">. Fatbardh </w:t>
      </w:r>
      <w:proofErr w:type="spellStart"/>
      <w:r w:rsidR="005A7344" w:rsidRPr="00FB492D">
        <w:rPr>
          <w:rFonts w:ascii="Garamond" w:hAnsi="Garamond"/>
        </w:rPr>
        <w:t>B</w:t>
      </w:r>
      <w:r w:rsidR="00005855">
        <w:rPr>
          <w:rFonts w:ascii="Garamond" w:hAnsi="Garamond"/>
        </w:rPr>
        <w:t>udo</w:t>
      </w:r>
      <w:proofErr w:type="spellEnd"/>
      <w:r w:rsidR="00005855">
        <w:rPr>
          <w:rFonts w:ascii="Garamond" w:hAnsi="Garamond"/>
        </w:rPr>
        <w:t>, është një shtetas shqiptar</w:t>
      </w:r>
      <w:r w:rsidR="005A7344" w:rsidRPr="00FB492D">
        <w:rPr>
          <w:rFonts w:ascii="Garamond" w:hAnsi="Garamond"/>
        </w:rPr>
        <w:t xml:space="preserve"> i cili ka lindur në vitin 1975 dhe jeton në Gjirokastër. Ai u përfaqësua para Gjykatës nga </w:t>
      </w:r>
      <w:r w:rsidR="00567282">
        <w:rPr>
          <w:rFonts w:ascii="Garamond" w:hAnsi="Garamond"/>
        </w:rPr>
        <w:t>z</w:t>
      </w:r>
      <w:r w:rsidR="005A7344" w:rsidRPr="00FB492D">
        <w:rPr>
          <w:rFonts w:ascii="Garamond" w:hAnsi="Garamond"/>
        </w:rPr>
        <w:t>. F. Caka, një avokat që ushtron profesionin në Tiranë.</w:t>
      </w:r>
    </w:p>
    <w:p w14:paraId="376681AE" w14:textId="706943E7" w:rsidR="00E62C3F" w:rsidRPr="00FB492D" w:rsidRDefault="00FB492D" w:rsidP="00FB492D">
      <w:pPr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="005A7344" w:rsidRPr="00FB492D">
        <w:rPr>
          <w:rFonts w:ascii="Garamond" w:hAnsi="Garamond"/>
        </w:rPr>
        <w:t>Qeveria shqiptare (</w:t>
      </w:r>
      <w:r w:rsidR="00567282">
        <w:rPr>
          <w:rFonts w:ascii="Garamond" w:hAnsi="Garamond"/>
        </w:rPr>
        <w:t>“</w:t>
      </w:r>
      <w:r w:rsidR="005A7344" w:rsidRPr="00FB492D">
        <w:rPr>
          <w:rFonts w:ascii="Garamond" w:hAnsi="Garamond"/>
        </w:rPr>
        <w:t>Qeveria</w:t>
      </w:r>
      <w:r w:rsidR="00567282">
        <w:rPr>
          <w:rFonts w:ascii="Garamond" w:hAnsi="Garamond"/>
        </w:rPr>
        <w:t>”</w:t>
      </w:r>
      <w:r w:rsidR="005A7344" w:rsidRPr="00FB492D">
        <w:rPr>
          <w:rFonts w:ascii="Garamond" w:hAnsi="Garamond"/>
        </w:rPr>
        <w:t xml:space="preserve">) u përfaqësua nga Agjenti i tyre i atëhershëm, </w:t>
      </w:r>
      <w:r w:rsidR="00567282">
        <w:rPr>
          <w:rFonts w:ascii="Garamond" w:hAnsi="Garamond"/>
        </w:rPr>
        <w:t>z. A. Metani dhe më pas</w:t>
      </w:r>
      <w:r w:rsidR="005A7344" w:rsidRPr="00FB492D">
        <w:rPr>
          <w:rFonts w:ascii="Garamond" w:hAnsi="Garamond"/>
        </w:rPr>
        <w:t xml:space="preserve"> nga </w:t>
      </w:r>
      <w:proofErr w:type="spellStart"/>
      <w:r w:rsidR="00567282">
        <w:rPr>
          <w:rFonts w:ascii="Garamond" w:hAnsi="Garamond"/>
        </w:rPr>
        <w:t>z</w:t>
      </w:r>
      <w:r w:rsidR="005A7344" w:rsidRPr="00FB492D">
        <w:rPr>
          <w:rFonts w:ascii="Garamond" w:hAnsi="Garamond"/>
        </w:rPr>
        <w:t>nj</w:t>
      </w:r>
      <w:proofErr w:type="spellEnd"/>
      <w:r w:rsidR="005A7344" w:rsidRPr="00FB492D">
        <w:rPr>
          <w:rFonts w:ascii="Garamond" w:hAnsi="Garamond"/>
        </w:rPr>
        <w:t xml:space="preserve">. E. </w:t>
      </w:r>
      <w:proofErr w:type="spellStart"/>
      <w:r w:rsidR="005A7344" w:rsidRPr="00FB492D">
        <w:rPr>
          <w:rFonts w:ascii="Garamond" w:hAnsi="Garamond"/>
        </w:rPr>
        <w:t>Muçaj</w:t>
      </w:r>
      <w:proofErr w:type="spellEnd"/>
      <w:r w:rsidR="005A7344" w:rsidRPr="00FB492D">
        <w:rPr>
          <w:rFonts w:ascii="Garamond" w:hAnsi="Garamond"/>
        </w:rPr>
        <w:t xml:space="preserve"> nga </w:t>
      </w:r>
      <w:r w:rsidR="00567282">
        <w:rPr>
          <w:rFonts w:ascii="Garamond" w:hAnsi="Garamond"/>
        </w:rPr>
        <w:t>z</w:t>
      </w:r>
      <w:r w:rsidR="005A7344" w:rsidRPr="00FB492D">
        <w:rPr>
          <w:rFonts w:ascii="Garamond" w:hAnsi="Garamond"/>
        </w:rPr>
        <w:t>yra e Avokatit të Shtetit.</w:t>
      </w:r>
    </w:p>
    <w:p w14:paraId="376681AF" w14:textId="2CD6A3E9" w:rsidR="00E62C3F" w:rsidRPr="00FB492D" w:rsidRDefault="00FB492D" w:rsidP="00FB492D">
      <w:pPr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="005A7344" w:rsidRPr="00FB492D">
        <w:rPr>
          <w:rFonts w:ascii="Garamond" w:hAnsi="Garamond"/>
        </w:rPr>
        <w:t xml:space="preserve">Kërkuesi, i cili ishte një i burgosur i dënuar, u ankua për shkelje të </w:t>
      </w:r>
      <w:r w:rsidR="00567282">
        <w:rPr>
          <w:rFonts w:ascii="Garamond" w:hAnsi="Garamond"/>
        </w:rPr>
        <w:t>n</w:t>
      </w:r>
      <w:r w:rsidR="005A7344" w:rsidRPr="00FB492D">
        <w:rPr>
          <w:rFonts w:ascii="Garamond" w:hAnsi="Garamond"/>
        </w:rPr>
        <w:t>enit 3</w:t>
      </w:r>
      <w:r w:rsidR="00567282">
        <w:rPr>
          <w:rFonts w:ascii="Garamond" w:hAnsi="Garamond"/>
        </w:rPr>
        <w:t>,</w:t>
      </w:r>
      <w:r w:rsidR="005A7344" w:rsidRPr="00FB492D">
        <w:rPr>
          <w:rFonts w:ascii="Garamond" w:hAnsi="Garamond"/>
        </w:rPr>
        <w:t xml:space="preserve"> të Konventës në lidhje me përdorimin e prangave në një mjedis spitalor dhe të </w:t>
      </w:r>
      <w:r w:rsidR="00567282">
        <w:rPr>
          <w:rFonts w:ascii="Garamond" w:hAnsi="Garamond"/>
        </w:rPr>
        <w:t>n</w:t>
      </w:r>
      <w:r w:rsidR="005A7344" w:rsidRPr="00FB492D">
        <w:rPr>
          <w:rFonts w:ascii="Garamond" w:hAnsi="Garamond"/>
        </w:rPr>
        <w:t>enit 13</w:t>
      </w:r>
      <w:r w:rsidR="00567282">
        <w:rPr>
          <w:rFonts w:ascii="Garamond" w:hAnsi="Garamond"/>
        </w:rPr>
        <w:t>,</w:t>
      </w:r>
      <w:r w:rsidR="005A7344" w:rsidRPr="00FB492D">
        <w:rPr>
          <w:rFonts w:ascii="Garamond" w:hAnsi="Garamond"/>
        </w:rPr>
        <w:t xml:space="preserve"> për mungesën e një mjeti efektiv juridik për ankesën e tij sipas </w:t>
      </w:r>
      <w:r w:rsidR="00567282">
        <w:rPr>
          <w:rFonts w:ascii="Garamond" w:hAnsi="Garamond"/>
        </w:rPr>
        <w:t>n</w:t>
      </w:r>
      <w:r w:rsidR="005A7344" w:rsidRPr="00FB492D">
        <w:rPr>
          <w:rFonts w:ascii="Garamond" w:hAnsi="Garamond"/>
        </w:rPr>
        <w:t>enit 3.</w:t>
      </w:r>
    </w:p>
    <w:p w14:paraId="376681B0" w14:textId="01526B40" w:rsidR="00E62C3F" w:rsidRPr="00FB492D" w:rsidRDefault="00FB492D" w:rsidP="00FB492D">
      <w:pPr>
        <w:ind w:firstLine="284"/>
        <w:jc w:val="both"/>
        <w:rPr>
          <w:rFonts w:ascii="Garamond" w:hAnsi="Garamond"/>
        </w:rPr>
      </w:pPr>
      <w:r w:rsidRPr="00F813CB">
        <w:rPr>
          <w:rFonts w:ascii="Garamond" w:hAnsi="Garamond"/>
        </w:rPr>
        <w:t>4.</w:t>
      </w:r>
      <w:r>
        <w:rPr>
          <w:rFonts w:ascii="Garamond" w:hAnsi="Garamond"/>
        </w:rPr>
        <w:t xml:space="preserve"> </w:t>
      </w:r>
      <w:r w:rsidR="005A7344" w:rsidRPr="00FB492D">
        <w:rPr>
          <w:rFonts w:ascii="Garamond" w:hAnsi="Garamond"/>
        </w:rPr>
        <w:t xml:space="preserve">Çështja iu komunikua </w:t>
      </w:r>
      <w:r w:rsidR="00F813CB">
        <w:rPr>
          <w:rFonts w:ascii="Garamond" w:hAnsi="Garamond"/>
        </w:rPr>
        <w:t>Q</w:t>
      </w:r>
      <w:r w:rsidR="005A7344" w:rsidRPr="00FB492D">
        <w:rPr>
          <w:rFonts w:ascii="Garamond" w:hAnsi="Garamond"/>
        </w:rPr>
        <w:t>everisë më 18 dhjetor 2019.</w:t>
      </w:r>
    </w:p>
    <w:p w14:paraId="376681B1" w14:textId="77E74244" w:rsidR="002E3676" w:rsidRPr="00FB492D" w:rsidRDefault="00FB492D" w:rsidP="00FB492D">
      <w:pPr>
        <w:ind w:firstLine="284"/>
        <w:jc w:val="both"/>
        <w:rPr>
          <w:rFonts w:ascii="Garamond" w:hAnsi="Garamond"/>
        </w:rPr>
      </w:pPr>
      <w:r w:rsidRPr="00F813CB">
        <w:rPr>
          <w:rFonts w:ascii="Garamond" w:hAnsi="Garamond"/>
        </w:rPr>
        <w:t xml:space="preserve">6. </w:t>
      </w:r>
      <w:r w:rsidR="005A7344" w:rsidRPr="00F813CB">
        <w:rPr>
          <w:rFonts w:ascii="Garamond" w:hAnsi="Garamond"/>
        </w:rPr>
        <w:t>Më</w:t>
      </w:r>
      <w:r w:rsidR="005A7344" w:rsidRPr="00FB492D">
        <w:rPr>
          <w:rFonts w:ascii="Garamond" w:hAnsi="Garamond"/>
        </w:rPr>
        <w:t xml:space="preserve"> 3 dhjetor 2020, Gjykata mori një deklaratë nga </w:t>
      </w:r>
      <w:r w:rsidR="00F813CB">
        <w:rPr>
          <w:rFonts w:ascii="Garamond" w:hAnsi="Garamond"/>
        </w:rPr>
        <w:t>Q</w:t>
      </w:r>
      <w:r w:rsidR="005A7344" w:rsidRPr="00FB492D">
        <w:rPr>
          <w:rFonts w:ascii="Garamond" w:hAnsi="Garamond"/>
        </w:rPr>
        <w:t>everia në lidhje me një zgjidhje të çështjes me mirëkuptim, e cila përmban tekstin e mëposhtëm:</w:t>
      </w:r>
    </w:p>
    <w:p w14:paraId="376681B4" w14:textId="589D6AEF" w:rsidR="00E62C3F" w:rsidRPr="00FB492D" w:rsidRDefault="00567282" w:rsidP="00FB492D">
      <w:pPr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>“</w:t>
      </w:r>
      <w:r w:rsidR="005A7344" w:rsidRPr="00FB492D">
        <w:rPr>
          <w:rFonts w:ascii="Garamond" w:hAnsi="Garamond"/>
        </w:rPr>
        <w:t xml:space="preserve">Me anë të kësaj deklaroj se Qeveria e Shqipërisë ofron të paguajë </w:t>
      </w:r>
      <w:proofErr w:type="spellStart"/>
      <w:r w:rsidR="005A7344" w:rsidRPr="00567282">
        <w:rPr>
          <w:rFonts w:ascii="Garamond" w:hAnsi="Garamond"/>
          <w:i/>
        </w:rPr>
        <w:t>ex</w:t>
      </w:r>
      <w:proofErr w:type="spellEnd"/>
      <w:r w:rsidR="005A7344" w:rsidRPr="00567282">
        <w:rPr>
          <w:rFonts w:ascii="Garamond" w:hAnsi="Garamond"/>
          <w:i/>
        </w:rPr>
        <w:t xml:space="preserve"> </w:t>
      </w:r>
      <w:proofErr w:type="spellStart"/>
      <w:r w:rsidR="005A7344" w:rsidRPr="00567282">
        <w:rPr>
          <w:rFonts w:ascii="Garamond" w:hAnsi="Garamond"/>
          <w:i/>
        </w:rPr>
        <w:t>gratia</w:t>
      </w:r>
      <w:proofErr w:type="spellEnd"/>
      <w:r w:rsidR="005A7344" w:rsidRPr="00FB492D">
        <w:rPr>
          <w:rFonts w:ascii="Garamond" w:hAnsi="Garamond"/>
        </w:rPr>
        <w:t>, me qëllim që të sigurojë një zgjidhje me mirëkuptim të çështjes së lartpërmendur</w:t>
      </w:r>
      <w:r>
        <w:rPr>
          <w:rFonts w:ascii="Garamond" w:hAnsi="Garamond"/>
        </w:rPr>
        <w:t>,</w:t>
      </w:r>
      <w:r w:rsidR="005A7344" w:rsidRPr="00FB492D">
        <w:rPr>
          <w:rFonts w:ascii="Garamond" w:hAnsi="Garamond"/>
        </w:rPr>
        <w:t xml:space="preserve"> të mbetur pezull para Gjykatës Evropiane të </w:t>
      </w:r>
      <w:proofErr w:type="spellStart"/>
      <w:r w:rsidR="005A7344" w:rsidRPr="00FB492D">
        <w:rPr>
          <w:rFonts w:ascii="Garamond" w:hAnsi="Garamond"/>
        </w:rPr>
        <w:t>të</w:t>
      </w:r>
      <w:proofErr w:type="spellEnd"/>
      <w:r w:rsidR="005A7344" w:rsidRPr="00FB492D">
        <w:rPr>
          <w:rFonts w:ascii="Garamond" w:hAnsi="Garamond"/>
        </w:rPr>
        <w:t xml:space="preserve"> Drejtave të Njeriut, 10.000 </w:t>
      </w:r>
      <w:r w:rsidR="00F813CB" w:rsidRPr="00FB492D">
        <w:rPr>
          <w:rFonts w:ascii="Garamond" w:hAnsi="Garamond"/>
        </w:rPr>
        <w:t>euro</w:t>
      </w:r>
      <w:r w:rsidR="005A7344" w:rsidRPr="00FB492D">
        <w:rPr>
          <w:rFonts w:ascii="Garamond" w:hAnsi="Garamond"/>
        </w:rPr>
        <w:t xml:space="preserve"> (dhjetë mijë </w:t>
      </w:r>
      <w:r>
        <w:rPr>
          <w:rFonts w:ascii="Garamond" w:hAnsi="Garamond"/>
        </w:rPr>
        <w:t>e</w:t>
      </w:r>
      <w:r w:rsidR="005A7344" w:rsidRPr="00FB492D">
        <w:rPr>
          <w:rFonts w:ascii="Garamond" w:hAnsi="Garamond"/>
        </w:rPr>
        <w:t xml:space="preserve">uro) për kërkuesin ... për të mbuluar çdo dhe </w:t>
      </w:r>
      <w:r>
        <w:rPr>
          <w:rFonts w:ascii="Garamond" w:hAnsi="Garamond"/>
        </w:rPr>
        <w:t xml:space="preserve">të gjithë dëmin material dhe </w:t>
      </w:r>
      <w:proofErr w:type="spellStart"/>
      <w:r>
        <w:rPr>
          <w:rFonts w:ascii="Garamond" w:hAnsi="Garamond"/>
        </w:rPr>
        <w:t>jo</w:t>
      </w:r>
      <w:r w:rsidR="005A7344" w:rsidRPr="00FB492D">
        <w:rPr>
          <w:rFonts w:ascii="Garamond" w:hAnsi="Garamond"/>
        </w:rPr>
        <w:t>material</w:t>
      </w:r>
      <w:proofErr w:type="spellEnd"/>
      <w:r w:rsidR="005A7344" w:rsidRPr="00FB492D">
        <w:rPr>
          <w:rFonts w:ascii="Garamond" w:hAnsi="Garamond"/>
        </w:rPr>
        <w:t xml:space="preserve">, si edhe 700 </w:t>
      </w:r>
      <w:r w:rsidR="00F813CB" w:rsidRPr="00FB492D">
        <w:rPr>
          <w:rFonts w:ascii="Garamond" w:hAnsi="Garamond"/>
        </w:rPr>
        <w:t>euro</w:t>
      </w:r>
      <w:r w:rsidR="005A7344" w:rsidRPr="00FB492D">
        <w:rPr>
          <w:rFonts w:ascii="Garamond" w:hAnsi="Garamond"/>
        </w:rPr>
        <w:t xml:space="preserve"> (shtatëqind </w:t>
      </w:r>
      <w:r>
        <w:rPr>
          <w:rFonts w:ascii="Garamond" w:hAnsi="Garamond"/>
        </w:rPr>
        <w:t>e</w:t>
      </w:r>
      <w:r w:rsidR="005A7344" w:rsidRPr="00FB492D">
        <w:rPr>
          <w:rFonts w:ascii="Garamond" w:hAnsi="Garamond"/>
        </w:rPr>
        <w:t>uro) në lidhje me kostot dhe shpen</w:t>
      </w:r>
      <w:r>
        <w:rPr>
          <w:rFonts w:ascii="Garamond" w:hAnsi="Garamond"/>
        </w:rPr>
        <w:t>zimet, plus çdo taksë që mund t’</w:t>
      </w:r>
      <w:r w:rsidR="005A7344" w:rsidRPr="00FB492D">
        <w:rPr>
          <w:rFonts w:ascii="Garamond" w:hAnsi="Garamond"/>
        </w:rPr>
        <w:t>i ngarkohet kërkuesit.</w:t>
      </w:r>
    </w:p>
    <w:p w14:paraId="376681B5" w14:textId="050D1F68" w:rsidR="00E62C3F" w:rsidRPr="00FB492D" w:rsidRDefault="00FB492D" w:rsidP="00FB492D">
      <w:pPr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="005A7344" w:rsidRPr="00FB492D">
        <w:rPr>
          <w:rFonts w:ascii="Garamond" w:hAnsi="Garamond"/>
        </w:rPr>
        <w:t>Shumat e mësipërme do të paguhen brenda tre muajve nga data e njoftimit të vendimit të dhënë nga Gjykata</w:t>
      </w:r>
      <w:r w:rsidR="00567282">
        <w:rPr>
          <w:rFonts w:ascii="Garamond" w:hAnsi="Garamond"/>
        </w:rPr>
        <w:t>,</w:t>
      </w:r>
      <w:r w:rsidR="005A7344" w:rsidRPr="00FB492D">
        <w:rPr>
          <w:rFonts w:ascii="Garamond" w:hAnsi="Garamond"/>
        </w:rPr>
        <w:t xml:space="preserve"> në përputhje me </w:t>
      </w:r>
      <w:r w:rsidR="00567282">
        <w:rPr>
          <w:rFonts w:ascii="Garamond" w:hAnsi="Garamond"/>
        </w:rPr>
        <w:t>n</w:t>
      </w:r>
      <w:r w:rsidR="005A7344" w:rsidRPr="00FB492D">
        <w:rPr>
          <w:rFonts w:ascii="Garamond" w:hAnsi="Garamond"/>
        </w:rPr>
        <w:t xml:space="preserve">enin 39 të Konventës Evropiane për të Drejtat e Njeriut. Nga mbarimi i periudhës së lartpërmendur deri në shlyerje, interesi i thjeshtë do të paguhet për shumat e mësipërme në një normë të barabartë me normën </w:t>
      </w:r>
      <w:proofErr w:type="spellStart"/>
      <w:r w:rsidR="005A7344" w:rsidRPr="00FB492D">
        <w:rPr>
          <w:rFonts w:ascii="Garamond" w:hAnsi="Garamond"/>
        </w:rPr>
        <w:t>marzhinale</w:t>
      </w:r>
      <w:proofErr w:type="spellEnd"/>
      <w:r w:rsidR="005A7344" w:rsidRPr="00FB492D">
        <w:rPr>
          <w:rFonts w:ascii="Garamond" w:hAnsi="Garamond"/>
        </w:rPr>
        <w:t xml:space="preserve"> të huadhënies </w:t>
      </w:r>
      <w:r w:rsidR="00567282">
        <w:rPr>
          <w:rFonts w:ascii="Garamond" w:hAnsi="Garamond"/>
        </w:rPr>
        <w:t>s</w:t>
      </w:r>
      <w:r w:rsidR="005A7344" w:rsidRPr="00FB492D">
        <w:rPr>
          <w:rFonts w:ascii="Garamond" w:hAnsi="Garamond"/>
        </w:rPr>
        <w:t>ë Bankës Qendrore Evropiane gjatë periudhës së mospagimit</w:t>
      </w:r>
      <w:r w:rsidR="00567282">
        <w:rPr>
          <w:rFonts w:ascii="Garamond" w:hAnsi="Garamond"/>
        </w:rPr>
        <w:t xml:space="preserve"> plus tre pikë përqindjeje.</w:t>
      </w:r>
      <w:r w:rsidR="005A7344" w:rsidRPr="00FB492D">
        <w:rPr>
          <w:rFonts w:ascii="Garamond" w:hAnsi="Garamond"/>
        </w:rPr>
        <w:t xml:space="preserve"> Kjo pagesë do të përbëjë zgjidhjen përfundimtare të çështjes</w:t>
      </w:r>
      <w:r w:rsidR="00005855">
        <w:rPr>
          <w:rFonts w:ascii="Garamond" w:hAnsi="Garamond"/>
        </w:rPr>
        <w:t>.</w:t>
      </w:r>
    </w:p>
    <w:p w14:paraId="376681B6" w14:textId="03A105AB" w:rsidR="00E62C3F" w:rsidRPr="00FB492D" w:rsidRDefault="00FB492D" w:rsidP="00FB492D">
      <w:pPr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="005A7344" w:rsidRPr="00FB492D">
        <w:rPr>
          <w:rFonts w:ascii="Garamond" w:hAnsi="Garamond"/>
        </w:rPr>
        <w:t xml:space="preserve">Qeveria shpreh </w:t>
      </w:r>
      <w:r w:rsidR="002E3676" w:rsidRPr="00FB492D">
        <w:rPr>
          <w:rFonts w:ascii="Garamond" w:hAnsi="Garamond"/>
        </w:rPr>
        <w:t xml:space="preserve">sinqerisht </w:t>
      </w:r>
      <w:r w:rsidR="005A7344" w:rsidRPr="00FB492D">
        <w:rPr>
          <w:rFonts w:ascii="Garamond" w:hAnsi="Garamond"/>
        </w:rPr>
        <w:t xml:space="preserve">keqardhje që kërkuesi u mbajt i prangosur në një shtrat spitali dhe pranon se rrethanat e çështjes në fjalë tregonin një problem sistematik dhe strukturor, </w:t>
      </w:r>
      <w:proofErr w:type="spellStart"/>
      <w:r w:rsidR="005A7344" w:rsidRPr="00FB492D">
        <w:rPr>
          <w:rFonts w:ascii="Garamond" w:hAnsi="Garamond"/>
        </w:rPr>
        <w:t>specifikisht</w:t>
      </w:r>
      <w:proofErr w:type="spellEnd"/>
      <w:r w:rsidR="005A7344" w:rsidRPr="00FB492D">
        <w:rPr>
          <w:rFonts w:ascii="Garamond" w:hAnsi="Garamond"/>
        </w:rPr>
        <w:t xml:space="preserve"> përdorimi i prangave për të lidhur një të burgosur në një shtrat spitali, i cili ishte parashikuar në rregullat e hollësishme në lidhje me sjelljen e oficerëve të policisë në burg (2010).</w:t>
      </w:r>
    </w:p>
    <w:p w14:paraId="376681B7" w14:textId="162C6475" w:rsidR="00E62C3F" w:rsidRPr="00FB492D" w:rsidRDefault="00FB492D" w:rsidP="00FB492D">
      <w:pPr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="005A7344" w:rsidRPr="00FB492D">
        <w:rPr>
          <w:rFonts w:ascii="Garamond" w:hAnsi="Garamond"/>
        </w:rPr>
        <w:t xml:space="preserve">Kjo praktikë, përkatësisht përdorimi standard i prangave në një mjedis spitalor, është ndërprerë që nga data 31 korrik 2018. Gjithashtu, dy akte ligjore të kohëve të fundit, përkatësisht </w:t>
      </w:r>
      <w:r w:rsidR="00567282">
        <w:rPr>
          <w:rFonts w:ascii="Garamond" w:hAnsi="Garamond"/>
        </w:rPr>
        <w:t>l</w:t>
      </w:r>
      <w:r w:rsidR="00567282" w:rsidRPr="00FB492D">
        <w:rPr>
          <w:rFonts w:ascii="Garamond" w:hAnsi="Garamond"/>
        </w:rPr>
        <w:t xml:space="preserve">igji për të drejtat dhe trajtimin e të burgosurve </w:t>
      </w:r>
      <w:r w:rsidR="005A7344" w:rsidRPr="00FB492D">
        <w:rPr>
          <w:rFonts w:ascii="Garamond" w:hAnsi="Garamond"/>
        </w:rPr>
        <w:t xml:space="preserve">(ligji nr. 81/2020) dhe </w:t>
      </w:r>
      <w:r w:rsidR="00567282">
        <w:rPr>
          <w:rFonts w:ascii="Garamond" w:hAnsi="Garamond"/>
        </w:rPr>
        <w:t>l</w:t>
      </w:r>
      <w:r w:rsidR="005A7344" w:rsidRPr="00FB492D">
        <w:rPr>
          <w:rFonts w:ascii="Garamond" w:hAnsi="Garamond"/>
        </w:rPr>
        <w:t xml:space="preserve">igji për </w:t>
      </w:r>
      <w:r w:rsidR="00F813CB" w:rsidRPr="00FB492D">
        <w:rPr>
          <w:rFonts w:ascii="Garamond" w:hAnsi="Garamond"/>
        </w:rPr>
        <w:t xml:space="preserve">policinë e burgjeve </w:t>
      </w:r>
      <w:r w:rsidR="005A7344" w:rsidRPr="00FB492D">
        <w:rPr>
          <w:rFonts w:ascii="Garamond" w:hAnsi="Garamond"/>
        </w:rPr>
        <w:t xml:space="preserve">(ligji nr. 81/2020) u miratuan në vitin 2020 dhe vunë theksin në kryerjen e një vlerësimi të rrezikut, duke përfshirë vlerësimin e nivelit të rrezikshmërisë së çdo të burgosuri, përpara zbatimit të ndonjë </w:t>
      </w:r>
      <w:r w:rsidR="005A7344" w:rsidRPr="00FB492D">
        <w:rPr>
          <w:rFonts w:ascii="Garamond" w:hAnsi="Garamond"/>
        </w:rPr>
        <w:lastRenderedPageBreak/>
        <w:t>mase kufizuese.</w:t>
      </w:r>
    </w:p>
    <w:p w14:paraId="376681B8" w14:textId="1D0718B0" w:rsidR="00E62C3F" w:rsidRPr="00FB492D" w:rsidRDefault="00FB492D" w:rsidP="00FB492D">
      <w:pPr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="005A7344" w:rsidRPr="00FB492D">
        <w:rPr>
          <w:rFonts w:ascii="Garamond" w:hAnsi="Garamond"/>
        </w:rPr>
        <w:t>Qeveria më tej merr përsipër të:</w:t>
      </w:r>
    </w:p>
    <w:p w14:paraId="376681B9" w14:textId="501093E2" w:rsidR="00E62C3F" w:rsidRPr="00FB492D" w:rsidRDefault="00FB492D" w:rsidP="00FB492D">
      <w:pPr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5A7344" w:rsidRPr="00FB492D">
        <w:rPr>
          <w:rFonts w:ascii="Garamond" w:hAnsi="Garamond"/>
        </w:rPr>
        <w:t xml:space="preserve">ndryshojë legjislacionin dytësor zbatues ekzistues dhe të miratojë legjislacionin e ri dytësor, në zbatim të </w:t>
      </w:r>
      <w:r w:rsidR="00567282">
        <w:rPr>
          <w:rFonts w:ascii="Garamond" w:hAnsi="Garamond"/>
        </w:rPr>
        <w:t>l</w:t>
      </w:r>
      <w:r w:rsidR="005A7344" w:rsidRPr="00FB492D">
        <w:rPr>
          <w:rFonts w:ascii="Garamond" w:hAnsi="Garamond"/>
        </w:rPr>
        <w:t xml:space="preserve">igjeve të mësipërme, duke përfshirë miratimin e rregullave </w:t>
      </w:r>
      <w:r w:rsidR="00005855">
        <w:rPr>
          <w:rFonts w:ascii="Garamond" w:hAnsi="Garamond"/>
        </w:rPr>
        <w:t>të reja në lidhje me sjelljen e</w:t>
      </w:r>
      <w:r w:rsidR="005A7344" w:rsidRPr="00FB492D">
        <w:rPr>
          <w:rFonts w:ascii="Garamond" w:hAnsi="Garamond"/>
        </w:rPr>
        <w:t xml:space="preserve"> oficerëve të policisë në burg, brenda një viti nga data e vendimit të Gjykatës;</w:t>
      </w:r>
    </w:p>
    <w:p w14:paraId="376681BA" w14:textId="553CE8D5" w:rsidR="00E62C3F" w:rsidRPr="00FB492D" w:rsidRDefault="00FB492D" w:rsidP="00FB492D">
      <w:pPr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5A7344" w:rsidRPr="00FB492D">
        <w:rPr>
          <w:rFonts w:ascii="Garamond" w:hAnsi="Garamond"/>
        </w:rPr>
        <w:t>marrë masa për krijimin e njësive të specializuara brenda institucioneve të përshtatshme shëndetësore me elemente të përmirësuar</w:t>
      </w:r>
      <w:r w:rsidR="00005855">
        <w:rPr>
          <w:rFonts w:ascii="Garamond" w:hAnsi="Garamond"/>
        </w:rPr>
        <w:t>a</w:t>
      </w:r>
      <w:r w:rsidR="005A7344" w:rsidRPr="00FB492D">
        <w:rPr>
          <w:rFonts w:ascii="Garamond" w:hAnsi="Garamond"/>
        </w:rPr>
        <w:t xml:space="preserve"> sigurie</w:t>
      </w:r>
      <w:r w:rsidR="00005855">
        <w:rPr>
          <w:rFonts w:ascii="Garamond" w:hAnsi="Garamond"/>
        </w:rPr>
        <w:t>,</w:t>
      </w:r>
      <w:r w:rsidR="005A7344" w:rsidRPr="00FB492D">
        <w:rPr>
          <w:rFonts w:ascii="Garamond" w:hAnsi="Garamond"/>
        </w:rPr>
        <w:t xml:space="preserve"> që do të plotësojnë nevojat e sigurisë dhe do të garantojnë mbrojtjen e të drejtave të njeriut të </w:t>
      </w:r>
      <w:proofErr w:type="spellStart"/>
      <w:r w:rsidR="005A7344" w:rsidRPr="00FB492D">
        <w:rPr>
          <w:rFonts w:ascii="Garamond" w:hAnsi="Garamond"/>
        </w:rPr>
        <w:t>të</w:t>
      </w:r>
      <w:proofErr w:type="spellEnd"/>
      <w:r w:rsidR="005A7344" w:rsidRPr="00FB492D">
        <w:rPr>
          <w:rFonts w:ascii="Garamond" w:hAnsi="Garamond"/>
        </w:rPr>
        <w:t xml:space="preserve"> burgosurve;</w:t>
      </w:r>
    </w:p>
    <w:p w14:paraId="376681BB" w14:textId="2107666D" w:rsidR="00E62C3F" w:rsidRPr="00FB492D" w:rsidRDefault="00FB492D" w:rsidP="00FB492D">
      <w:pPr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BA0F55" w:rsidRPr="00FB492D">
        <w:rPr>
          <w:rFonts w:ascii="Garamond" w:hAnsi="Garamond"/>
        </w:rPr>
        <w:t xml:space="preserve">zhvillojë seminare trajnimi dhe ndërgjegjësimi me oficerë të policisë së burgjeve dhe autoritete të tjera përkatëse mbi legjislacionin e miratuar së fundi, me qëllim që të garantojnë respektimin dhe mbrojtjen e të drejtave të </w:t>
      </w:r>
      <w:proofErr w:type="spellStart"/>
      <w:r w:rsidR="00BA0F55" w:rsidRPr="00FB492D">
        <w:rPr>
          <w:rFonts w:ascii="Garamond" w:hAnsi="Garamond"/>
        </w:rPr>
        <w:t>të</w:t>
      </w:r>
      <w:proofErr w:type="spellEnd"/>
      <w:r w:rsidR="00BA0F55" w:rsidRPr="00FB492D">
        <w:rPr>
          <w:rFonts w:ascii="Garamond" w:hAnsi="Garamond"/>
        </w:rPr>
        <w:t xml:space="preserve"> burgosurve.</w:t>
      </w:r>
      <w:r w:rsidR="00F15045">
        <w:rPr>
          <w:rFonts w:ascii="Garamond" w:hAnsi="Garamond"/>
        </w:rPr>
        <w:t>”.</w:t>
      </w:r>
    </w:p>
    <w:p w14:paraId="376681BC" w14:textId="373C3894" w:rsidR="00E62C3F" w:rsidRPr="00FB492D" w:rsidRDefault="00FB492D" w:rsidP="00FB492D">
      <w:pPr>
        <w:ind w:firstLine="284"/>
        <w:jc w:val="both"/>
        <w:rPr>
          <w:rFonts w:ascii="Garamond" w:hAnsi="Garamond"/>
        </w:rPr>
      </w:pPr>
      <w:bookmarkStart w:id="4" w:name="bookmark3"/>
      <w:r>
        <w:rPr>
          <w:rFonts w:ascii="Garamond" w:hAnsi="Garamond"/>
        </w:rPr>
        <w:t xml:space="preserve">7. </w:t>
      </w:r>
      <w:r w:rsidR="005A7344" w:rsidRPr="00FB492D">
        <w:rPr>
          <w:rFonts w:ascii="Garamond" w:hAnsi="Garamond"/>
        </w:rPr>
        <w:t>Më 8 dhjetor 2020, Gjykata mori një deklaratë të nënshkruar nga kërkuesi dhe përfaqësuesi i tij në lidhje me një zgjidhje me mirëkuptim të çështjes, pjesa më e rëndësishme e të cilës përmbante tekstin e mëposhtëm:</w:t>
      </w:r>
      <w:bookmarkEnd w:id="4"/>
    </w:p>
    <w:p w14:paraId="376681BE" w14:textId="327DCB11" w:rsidR="00BA0F55" w:rsidRPr="00FB492D" w:rsidRDefault="00F813CB" w:rsidP="00F813CB">
      <w:pPr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>“</w:t>
      </w:r>
      <w:r w:rsidR="005A7344" w:rsidRPr="00FB492D">
        <w:rPr>
          <w:rFonts w:ascii="Garamond" w:hAnsi="Garamond"/>
        </w:rPr>
        <w:t>2 .... pranon propozimin e bërë nga Qeveria dhe heq dorë nga çdo pretendim i mëtejshëm kundër Shqipërisë në lidhje me faktet e kësaj kërkese. Unë deklaroj se pagesa e shumës së mësipërme përbën zgjidhjen përfundimtare të kësaj çështjeje.”</w:t>
      </w:r>
      <w:r>
        <w:rPr>
          <w:rFonts w:ascii="Garamond" w:hAnsi="Garamond"/>
        </w:rPr>
        <w:t>.</w:t>
      </w:r>
      <w:bookmarkStart w:id="5" w:name="bookmark4"/>
    </w:p>
    <w:p w14:paraId="376681BF" w14:textId="77777777" w:rsidR="00E62C3F" w:rsidRPr="00005855" w:rsidRDefault="005A7344" w:rsidP="00FB492D">
      <w:pPr>
        <w:ind w:firstLine="284"/>
        <w:jc w:val="both"/>
        <w:rPr>
          <w:rFonts w:ascii="Garamond" w:hAnsi="Garamond"/>
        </w:rPr>
      </w:pPr>
      <w:r w:rsidRPr="00005855">
        <w:rPr>
          <w:rFonts w:ascii="Garamond" w:hAnsi="Garamond"/>
        </w:rPr>
        <w:t>LIGJI</w:t>
      </w:r>
      <w:bookmarkEnd w:id="5"/>
    </w:p>
    <w:p w14:paraId="376681C1" w14:textId="7CE4F0AF" w:rsidR="00E62C3F" w:rsidRPr="00FB492D" w:rsidRDefault="00FB492D" w:rsidP="00FB492D">
      <w:pPr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8. </w:t>
      </w:r>
      <w:r w:rsidR="005A7344" w:rsidRPr="00FB492D">
        <w:rPr>
          <w:rFonts w:ascii="Garamond" w:hAnsi="Garamond"/>
        </w:rPr>
        <w:t xml:space="preserve">Gjykata konstaton zgjidhjen me mirëkuptim të arritur ndërmjet palëve. </w:t>
      </w:r>
      <w:bookmarkStart w:id="6" w:name="bookmark5"/>
      <w:r w:rsidR="005A7344" w:rsidRPr="00FB492D">
        <w:rPr>
          <w:rFonts w:ascii="Garamond" w:hAnsi="Garamond"/>
        </w:rPr>
        <w:t>Ajo është e bindur se zgjidhja bazohet në respektimin e të drejtave të njeriut, siç</w:t>
      </w:r>
      <w:bookmarkEnd w:id="6"/>
      <w:r w:rsidR="00A31CDC" w:rsidRPr="00FB492D">
        <w:rPr>
          <w:rFonts w:ascii="Garamond" w:hAnsi="Garamond"/>
        </w:rPr>
        <w:t xml:space="preserve"> </w:t>
      </w:r>
      <w:r w:rsidR="005A7344" w:rsidRPr="00FB492D">
        <w:rPr>
          <w:rFonts w:ascii="Garamond" w:hAnsi="Garamond"/>
        </w:rPr>
        <w:t>përcaktohet në Konventë dhe Protokollet e saj dhe nuk vëren asnjë arsye për të justifikuar vijimin e shqyrtimit të kërkesës (</w:t>
      </w:r>
      <w:r w:rsidR="00F813CB">
        <w:rPr>
          <w:rFonts w:ascii="Garamond" w:hAnsi="Garamond"/>
        </w:rPr>
        <w:t>n</w:t>
      </w:r>
      <w:r w:rsidR="005A7344" w:rsidRPr="00FB492D">
        <w:rPr>
          <w:rFonts w:ascii="Garamond" w:hAnsi="Garamond"/>
        </w:rPr>
        <w:t xml:space="preserve">eni 37§1 </w:t>
      </w:r>
      <w:r w:rsidR="005A7344" w:rsidRPr="00F813CB">
        <w:rPr>
          <w:rFonts w:ascii="Garamond" w:hAnsi="Garamond"/>
          <w:i/>
        </w:rPr>
        <w:t>in fine</w:t>
      </w:r>
      <w:r w:rsidR="00A31CDC" w:rsidRPr="00FB492D">
        <w:rPr>
          <w:rFonts w:ascii="Garamond" w:hAnsi="Garamond"/>
        </w:rPr>
        <w:t xml:space="preserve"> </w:t>
      </w:r>
      <w:r w:rsidR="005A7344" w:rsidRPr="00FB492D">
        <w:rPr>
          <w:rFonts w:ascii="Garamond" w:hAnsi="Garamond"/>
        </w:rPr>
        <w:t>i Konventës). Sa më sipër, është e nevojshme që çështja të fshihet nga lista.</w:t>
      </w:r>
    </w:p>
    <w:p w14:paraId="376681C2" w14:textId="77777777" w:rsidR="00BA0F55" w:rsidRPr="00FB492D" w:rsidRDefault="00BA0F55" w:rsidP="00FB492D">
      <w:pPr>
        <w:ind w:firstLine="284"/>
        <w:jc w:val="both"/>
        <w:rPr>
          <w:rFonts w:ascii="Garamond" w:hAnsi="Garamond"/>
        </w:rPr>
      </w:pPr>
    </w:p>
    <w:p w14:paraId="376681C3" w14:textId="49333FE0" w:rsidR="00E62C3F" w:rsidRPr="00FB492D" w:rsidRDefault="00F813CB" w:rsidP="00FB492D">
      <w:pPr>
        <w:jc w:val="center"/>
        <w:rPr>
          <w:rFonts w:ascii="Garamond" w:hAnsi="Garamond"/>
        </w:rPr>
      </w:pPr>
      <w:r w:rsidRPr="00FB492D">
        <w:rPr>
          <w:rFonts w:ascii="Garamond" w:hAnsi="Garamond"/>
        </w:rPr>
        <w:t>PËR KËTO ARSYE, GJYKATA UNANIMISHT</w:t>
      </w:r>
      <w:r w:rsidR="00005855">
        <w:rPr>
          <w:rFonts w:ascii="Garamond" w:hAnsi="Garamond"/>
        </w:rPr>
        <w:t>:</w:t>
      </w:r>
    </w:p>
    <w:p w14:paraId="376681C4" w14:textId="77777777" w:rsidR="00BA0F55" w:rsidRPr="00FB492D" w:rsidRDefault="00BA0F55" w:rsidP="00FB492D">
      <w:pPr>
        <w:ind w:firstLine="284"/>
        <w:jc w:val="both"/>
        <w:rPr>
          <w:rFonts w:ascii="Garamond" w:hAnsi="Garamond"/>
        </w:rPr>
      </w:pPr>
    </w:p>
    <w:p w14:paraId="376681C7" w14:textId="6996751E" w:rsidR="00BA0F55" w:rsidRDefault="005A7344" w:rsidP="00F813CB">
      <w:pPr>
        <w:ind w:firstLine="284"/>
        <w:jc w:val="both"/>
        <w:rPr>
          <w:rFonts w:ascii="Garamond" w:hAnsi="Garamond"/>
        </w:rPr>
      </w:pPr>
      <w:r w:rsidRPr="00FB492D">
        <w:rPr>
          <w:rFonts w:ascii="Garamond" w:hAnsi="Garamond"/>
        </w:rPr>
        <w:t>Vendos</w:t>
      </w:r>
      <w:r w:rsidR="00FB492D">
        <w:rPr>
          <w:rFonts w:ascii="Garamond" w:hAnsi="Garamond"/>
        </w:rPr>
        <w:t xml:space="preserve"> </w:t>
      </w:r>
      <w:r w:rsidR="00005855">
        <w:rPr>
          <w:rFonts w:ascii="Garamond" w:hAnsi="Garamond"/>
        </w:rPr>
        <w:t xml:space="preserve">të fshijë kërkesën nga lista e </w:t>
      </w:r>
      <w:r w:rsidRPr="00FB492D">
        <w:rPr>
          <w:rFonts w:ascii="Garamond" w:hAnsi="Garamond"/>
        </w:rPr>
        <w:t xml:space="preserve">çështjeve të saj në përputhje me </w:t>
      </w:r>
      <w:r w:rsidR="00F813CB">
        <w:rPr>
          <w:rFonts w:ascii="Garamond" w:hAnsi="Garamond"/>
        </w:rPr>
        <w:t>n</w:t>
      </w:r>
      <w:r w:rsidRPr="00FB492D">
        <w:rPr>
          <w:rFonts w:ascii="Garamond" w:hAnsi="Garamond"/>
        </w:rPr>
        <w:t>enin 39 të Konventës.</w:t>
      </w:r>
    </w:p>
    <w:p w14:paraId="4E2650E9" w14:textId="77777777" w:rsidR="00005855" w:rsidRPr="00005855" w:rsidRDefault="00005855" w:rsidP="00F813CB">
      <w:pPr>
        <w:ind w:firstLine="284"/>
        <w:jc w:val="both"/>
        <w:rPr>
          <w:rFonts w:ascii="Garamond" w:hAnsi="Garamond"/>
          <w:sz w:val="12"/>
        </w:rPr>
      </w:pPr>
    </w:p>
    <w:p w14:paraId="376681C8" w14:textId="77777777" w:rsidR="00E62C3F" w:rsidRDefault="005A7344" w:rsidP="00FB492D">
      <w:pPr>
        <w:ind w:firstLine="284"/>
        <w:jc w:val="both"/>
        <w:rPr>
          <w:rFonts w:ascii="Garamond" w:hAnsi="Garamond"/>
        </w:rPr>
      </w:pPr>
      <w:r w:rsidRPr="00FB492D">
        <w:rPr>
          <w:rFonts w:ascii="Garamond" w:hAnsi="Garamond"/>
        </w:rPr>
        <w:t>Bërë në gjuhën angleze dhe njoftuar me shkrim në datën 4 shkurt 2021.</w:t>
      </w:r>
    </w:p>
    <w:p w14:paraId="426FB6C8" w14:textId="77777777" w:rsidR="00005855" w:rsidRPr="00FB492D" w:rsidRDefault="00005855" w:rsidP="00FB492D">
      <w:pPr>
        <w:ind w:firstLine="284"/>
        <w:jc w:val="both"/>
        <w:rPr>
          <w:rFonts w:ascii="Garamond" w:hAnsi="Garamond"/>
        </w:rPr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3"/>
        <w:gridCol w:w="4307"/>
      </w:tblGrid>
      <w:tr w:rsidR="00005855" w14:paraId="223E18D5" w14:textId="77777777" w:rsidTr="00072D0A">
        <w:tc>
          <w:tcPr>
            <w:tcW w:w="4243" w:type="dxa"/>
          </w:tcPr>
          <w:p w14:paraId="768513A9" w14:textId="7138374F" w:rsidR="00005855" w:rsidRDefault="00005855" w:rsidP="00FB492D">
            <w:pPr>
              <w:jc w:val="both"/>
              <w:rPr>
                <w:rFonts w:ascii="Garamond" w:hAnsi="Garamond"/>
              </w:rPr>
            </w:pPr>
            <w:proofErr w:type="spellStart"/>
            <w:r w:rsidRPr="00F813CB">
              <w:rPr>
                <w:rFonts w:ascii="Garamond" w:hAnsi="Garamond"/>
                <w:b/>
              </w:rPr>
              <w:t>Olga</w:t>
            </w:r>
            <w:proofErr w:type="spellEnd"/>
            <w:r w:rsidRPr="00F813CB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F813CB">
              <w:rPr>
                <w:rFonts w:ascii="Garamond" w:hAnsi="Garamond"/>
                <w:b/>
              </w:rPr>
              <w:t>Chernishova</w:t>
            </w:r>
            <w:proofErr w:type="spellEnd"/>
          </w:p>
        </w:tc>
        <w:tc>
          <w:tcPr>
            <w:tcW w:w="4307" w:type="dxa"/>
          </w:tcPr>
          <w:p w14:paraId="6A503640" w14:textId="4C8A3A2E" w:rsidR="00005855" w:rsidRDefault="00005855" w:rsidP="00FB492D">
            <w:pPr>
              <w:jc w:val="both"/>
              <w:rPr>
                <w:rFonts w:ascii="Garamond" w:hAnsi="Garamond"/>
              </w:rPr>
            </w:pPr>
            <w:proofErr w:type="spellStart"/>
            <w:r w:rsidRPr="00F813CB">
              <w:rPr>
                <w:rFonts w:ascii="Garamond" w:hAnsi="Garamond"/>
                <w:b/>
              </w:rPr>
              <w:t>Dmitry</w:t>
            </w:r>
            <w:proofErr w:type="spellEnd"/>
            <w:r w:rsidRPr="00F813CB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F813CB">
              <w:rPr>
                <w:rFonts w:ascii="Garamond" w:hAnsi="Garamond"/>
                <w:b/>
              </w:rPr>
              <w:t>Dedov</w:t>
            </w:r>
            <w:proofErr w:type="spellEnd"/>
          </w:p>
        </w:tc>
      </w:tr>
      <w:tr w:rsidR="00005855" w14:paraId="2DE33969" w14:textId="77777777" w:rsidTr="00072D0A">
        <w:tc>
          <w:tcPr>
            <w:tcW w:w="4243" w:type="dxa"/>
          </w:tcPr>
          <w:p w14:paraId="434B6637" w14:textId="02B24625" w:rsidR="00005855" w:rsidRDefault="00BC75AA" w:rsidP="00BC75A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ZËVENDËS REGJISTRUES</w:t>
            </w:r>
          </w:p>
        </w:tc>
        <w:tc>
          <w:tcPr>
            <w:tcW w:w="4307" w:type="dxa"/>
          </w:tcPr>
          <w:p w14:paraId="3E9D26B8" w14:textId="31987FE8" w:rsidR="00005855" w:rsidRDefault="00005855" w:rsidP="00FB492D">
            <w:pPr>
              <w:jc w:val="both"/>
              <w:rPr>
                <w:rFonts w:ascii="Garamond" w:hAnsi="Garamond"/>
              </w:rPr>
            </w:pPr>
            <w:r w:rsidRPr="00FB492D">
              <w:rPr>
                <w:rFonts w:ascii="Garamond" w:hAnsi="Garamond"/>
              </w:rPr>
              <w:t>PRESIDENT</w:t>
            </w:r>
          </w:p>
        </w:tc>
      </w:tr>
    </w:tbl>
    <w:p w14:paraId="376681C9" w14:textId="77777777" w:rsidR="00BA0F55" w:rsidRPr="00FB492D" w:rsidRDefault="00BA0F55" w:rsidP="00FB492D">
      <w:pPr>
        <w:ind w:firstLine="284"/>
        <w:jc w:val="both"/>
        <w:rPr>
          <w:rFonts w:ascii="Garamond" w:hAnsi="Garamond"/>
        </w:rPr>
      </w:pPr>
    </w:p>
    <w:p w14:paraId="376681CA" w14:textId="5461F1E8" w:rsidR="00BA0F55" w:rsidRPr="00FB492D" w:rsidRDefault="005A7344" w:rsidP="00FB492D">
      <w:pPr>
        <w:ind w:firstLine="284"/>
        <w:jc w:val="both"/>
        <w:rPr>
          <w:rFonts w:ascii="Garamond" w:hAnsi="Garamond"/>
        </w:rPr>
      </w:pPr>
      <w:r w:rsidRPr="00FB492D">
        <w:rPr>
          <w:rFonts w:ascii="Garamond" w:hAnsi="Garamond"/>
        </w:rPr>
        <w:tab/>
      </w:r>
      <w:r w:rsidRPr="00FB492D">
        <w:rPr>
          <w:rFonts w:ascii="Garamond" w:hAnsi="Garamond"/>
        </w:rPr>
        <w:tab/>
      </w:r>
      <w:r w:rsidRPr="00FB492D">
        <w:rPr>
          <w:rFonts w:ascii="Garamond" w:hAnsi="Garamond"/>
        </w:rPr>
        <w:tab/>
      </w:r>
      <w:r w:rsidRPr="00FB492D">
        <w:rPr>
          <w:rFonts w:ascii="Garamond" w:hAnsi="Garamond"/>
        </w:rPr>
        <w:tab/>
      </w:r>
      <w:r w:rsidRPr="00FB492D">
        <w:rPr>
          <w:rFonts w:ascii="Garamond" w:hAnsi="Garamond"/>
        </w:rPr>
        <w:tab/>
      </w:r>
    </w:p>
    <w:p w14:paraId="376681CB" w14:textId="77777777" w:rsidR="002E3676" w:rsidRPr="00FB492D" w:rsidRDefault="002E3676" w:rsidP="00FB492D">
      <w:pPr>
        <w:ind w:firstLine="284"/>
        <w:jc w:val="both"/>
        <w:rPr>
          <w:rFonts w:ascii="Garamond" w:hAnsi="Garamond"/>
        </w:rPr>
      </w:pPr>
    </w:p>
    <w:p w14:paraId="376681CC" w14:textId="1E335033" w:rsidR="00E62C3F" w:rsidRPr="00FB492D" w:rsidRDefault="002E3676" w:rsidP="00FB492D">
      <w:pPr>
        <w:ind w:firstLine="284"/>
        <w:jc w:val="both"/>
        <w:rPr>
          <w:rFonts w:ascii="Garamond" w:hAnsi="Garamond"/>
        </w:rPr>
      </w:pPr>
      <w:r w:rsidRPr="00FB492D">
        <w:rPr>
          <w:rFonts w:ascii="Garamond" w:hAnsi="Garamond"/>
        </w:rPr>
        <w:tab/>
      </w:r>
      <w:r w:rsidRPr="00FB492D">
        <w:rPr>
          <w:rFonts w:ascii="Garamond" w:hAnsi="Garamond"/>
        </w:rPr>
        <w:tab/>
      </w:r>
      <w:r w:rsidRPr="00FB492D">
        <w:rPr>
          <w:rFonts w:ascii="Garamond" w:hAnsi="Garamond"/>
        </w:rPr>
        <w:tab/>
      </w:r>
    </w:p>
    <w:sectPr w:rsidR="00E62C3F" w:rsidRPr="00FB492D" w:rsidSect="002E3676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0" w:footer="45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E4088" w14:textId="77777777" w:rsidR="00F813CB" w:rsidRDefault="00F813CB">
      <w:r>
        <w:separator/>
      </w:r>
    </w:p>
  </w:endnote>
  <w:endnote w:type="continuationSeparator" w:id="0">
    <w:p w14:paraId="408FD380" w14:textId="77777777" w:rsidR="00F813CB" w:rsidRDefault="00F813CB">
      <w:r>
        <w:continuationSeparator/>
      </w:r>
    </w:p>
  </w:endnote>
  <w:endnote w:type="continuationNotice" w:id="1">
    <w:p w14:paraId="01533442" w14:textId="77777777" w:rsidR="00F813CB" w:rsidRDefault="00F813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20686" w14:textId="77777777" w:rsidR="00F813CB" w:rsidRPr="00F22E3F" w:rsidRDefault="00F813CB" w:rsidP="00F22E3F">
    <w:pPr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30279" w14:textId="77777777" w:rsidR="00F813CB" w:rsidRDefault="00F813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AAD40" w14:textId="77777777" w:rsidR="00F813CB" w:rsidRDefault="00F813CB"/>
  </w:footnote>
  <w:footnote w:type="continuationSeparator" w:id="0">
    <w:p w14:paraId="6BFCE6DB" w14:textId="77777777" w:rsidR="00F813CB" w:rsidRDefault="00F813CB"/>
  </w:footnote>
  <w:footnote w:type="continuationNotice" w:id="1">
    <w:p w14:paraId="61C62710" w14:textId="77777777" w:rsidR="00F813CB" w:rsidRDefault="00F813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71D8F" w14:textId="2F6CE675" w:rsidR="00F813CB" w:rsidRPr="00F22E3F" w:rsidRDefault="00F813CB" w:rsidP="00F22E3F">
    <w:pPr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674B9" w14:textId="77777777" w:rsidR="00F813CB" w:rsidRDefault="00F813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B67"/>
    <w:multiLevelType w:val="multilevel"/>
    <w:tmpl w:val="1396BF1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227869"/>
    <w:multiLevelType w:val="multilevel"/>
    <w:tmpl w:val="1AE8B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846EA8"/>
    <w:multiLevelType w:val="multilevel"/>
    <w:tmpl w:val="03D452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11408B"/>
    <w:multiLevelType w:val="multilevel"/>
    <w:tmpl w:val="C4A43D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3F"/>
    <w:rsid w:val="00005855"/>
    <w:rsid w:val="00072D0A"/>
    <w:rsid w:val="001037B8"/>
    <w:rsid w:val="002044EC"/>
    <w:rsid w:val="00243F30"/>
    <w:rsid w:val="002A7045"/>
    <w:rsid w:val="002E3676"/>
    <w:rsid w:val="003767D7"/>
    <w:rsid w:val="00567282"/>
    <w:rsid w:val="005A7344"/>
    <w:rsid w:val="005C3B7C"/>
    <w:rsid w:val="00602F64"/>
    <w:rsid w:val="006A36D8"/>
    <w:rsid w:val="008361A6"/>
    <w:rsid w:val="009A3444"/>
    <w:rsid w:val="00A31CDC"/>
    <w:rsid w:val="00AD1CA9"/>
    <w:rsid w:val="00B72282"/>
    <w:rsid w:val="00B83BB2"/>
    <w:rsid w:val="00BA0F55"/>
    <w:rsid w:val="00BC75AA"/>
    <w:rsid w:val="00E62C3F"/>
    <w:rsid w:val="00F15045"/>
    <w:rsid w:val="00F22E3F"/>
    <w:rsid w:val="00F813CB"/>
    <w:rsid w:val="00F86145"/>
    <w:rsid w:val="00FB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668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sq-A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1CDC"/>
    <w:pPr>
      <w:widowControl w:val="0"/>
    </w:pPr>
    <w:rPr>
      <w:color w:val="00000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66CC"/>
      <w:u w:val="single"/>
    </w:rPr>
  </w:style>
  <w:style w:type="character" w:customStyle="1" w:styleId="Bodytext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0">
    <w:name w:val="Body text (3)_"/>
    <w:link w:val="Body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Italic">
    <w:name w:val="Body text (3)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sq-AL" w:eastAsia="en-US" w:bidi="en-US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NotItalic">
    <w:name w:val="Body text (4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sq-AL" w:eastAsia="en-US" w:bidi="en-US"/>
    </w:rPr>
  </w:style>
  <w:style w:type="character" w:customStyle="1" w:styleId="Bodytext2Italic">
    <w:name w:val="Body text (2)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sq-AL" w:eastAsia="en-US" w:bidi="en-US"/>
    </w:rPr>
  </w:style>
  <w:style w:type="character" w:customStyle="1" w:styleId="Headerorfooter">
    <w:name w:val="Header or footer_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Headerorfooter1">
    <w:name w:val="Header or 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sq-AL" w:eastAsia="en-US" w:bidi="en-US"/>
    </w:rPr>
  </w:style>
  <w:style w:type="character" w:customStyle="1" w:styleId="HeaderorfooterTahoma">
    <w:name w:val="Header or footer + Tahoma"/>
    <w:aliases w:val="7 pt,Spacing 0 p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q-AL" w:eastAsia="en-US" w:bidi="en-US"/>
    </w:rPr>
  </w:style>
  <w:style w:type="character" w:customStyle="1" w:styleId="Bodytext5">
    <w:name w:val="Body text (5)_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">
    <w:name w:val="Body text (6)_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q-AL" w:eastAsia="en-US" w:bidi="en-US"/>
    </w:rPr>
  </w:style>
  <w:style w:type="paragraph" w:customStyle="1" w:styleId="Bodytext31">
    <w:name w:val="Body text (3)"/>
    <w:basedOn w:val="Normal"/>
    <w:link w:val="Bodytext30"/>
    <w:pPr>
      <w:shd w:val="clear" w:color="auto" w:fill="FFFFFF"/>
      <w:spacing w:line="259" w:lineRule="exact"/>
      <w:ind w:hanging="4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9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  <w:ind w:firstLine="1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216" w:lineRule="exact"/>
      <w:ind w:firstLine="1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256" w:lineRule="exac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A0F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F55"/>
    <w:rPr>
      <w:color w:val="000000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A0F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F55"/>
    <w:rPr>
      <w:color w:val="000000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F30"/>
    <w:rPr>
      <w:rFonts w:ascii="Tahoma" w:hAnsi="Tahoma" w:cs="Tahoma"/>
      <w:color w:val="000000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FB492D"/>
    <w:pPr>
      <w:ind w:left="720"/>
      <w:contextualSpacing/>
    </w:pPr>
  </w:style>
  <w:style w:type="table" w:styleId="TableGrid">
    <w:name w:val="Table Grid"/>
    <w:basedOn w:val="TableNormal"/>
    <w:uiPriority w:val="39"/>
    <w:rsid w:val="00005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sq-A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1CDC"/>
    <w:pPr>
      <w:widowControl w:val="0"/>
    </w:pPr>
    <w:rPr>
      <w:color w:val="00000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66CC"/>
      <w:u w:val="single"/>
    </w:rPr>
  </w:style>
  <w:style w:type="character" w:customStyle="1" w:styleId="Bodytext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0">
    <w:name w:val="Body text (3)_"/>
    <w:link w:val="Body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Italic">
    <w:name w:val="Body text (3)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sq-AL" w:eastAsia="en-US" w:bidi="en-US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NotItalic">
    <w:name w:val="Body text (4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sq-AL" w:eastAsia="en-US" w:bidi="en-US"/>
    </w:rPr>
  </w:style>
  <w:style w:type="character" w:customStyle="1" w:styleId="Bodytext2Italic">
    <w:name w:val="Body text (2)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sq-AL" w:eastAsia="en-US" w:bidi="en-US"/>
    </w:rPr>
  </w:style>
  <w:style w:type="character" w:customStyle="1" w:styleId="Headerorfooter">
    <w:name w:val="Header or footer_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Headerorfooter1">
    <w:name w:val="Header or 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sq-AL" w:eastAsia="en-US" w:bidi="en-US"/>
    </w:rPr>
  </w:style>
  <w:style w:type="character" w:customStyle="1" w:styleId="HeaderorfooterTahoma">
    <w:name w:val="Header or footer + Tahoma"/>
    <w:aliases w:val="7 pt,Spacing 0 p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q-AL" w:eastAsia="en-US" w:bidi="en-US"/>
    </w:rPr>
  </w:style>
  <w:style w:type="character" w:customStyle="1" w:styleId="Bodytext5">
    <w:name w:val="Body text (5)_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">
    <w:name w:val="Body text (6)_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q-AL" w:eastAsia="en-US" w:bidi="en-US"/>
    </w:rPr>
  </w:style>
  <w:style w:type="paragraph" w:customStyle="1" w:styleId="Bodytext31">
    <w:name w:val="Body text (3)"/>
    <w:basedOn w:val="Normal"/>
    <w:link w:val="Bodytext30"/>
    <w:pPr>
      <w:shd w:val="clear" w:color="auto" w:fill="FFFFFF"/>
      <w:spacing w:line="259" w:lineRule="exact"/>
      <w:ind w:hanging="4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9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  <w:ind w:firstLine="1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216" w:lineRule="exact"/>
      <w:ind w:firstLine="1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256" w:lineRule="exac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A0F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F55"/>
    <w:rPr>
      <w:color w:val="000000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A0F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F55"/>
    <w:rPr>
      <w:color w:val="000000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F30"/>
    <w:rPr>
      <w:rFonts w:ascii="Tahoma" w:hAnsi="Tahoma" w:cs="Tahoma"/>
      <w:color w:val="000000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FB492D"/>
    <w:pPr>
      <w:ind w:left="720"/>
      <w:contextualSpacing/>
    </w:pPr>
  </w:style>
  <w:style w:type="table" w:styleId="TableGrid">
    <w:name w:val="Table Grid"/>
    <w:basedOn w:val="TableNormal"/>
    <w:uiPriority w:val="39"/>
    <w:rsid w:val="00005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75763-17</Nr_x002e__x0020_akti>
    <Data_x0020_e_x0020_Krijimit xmlns="0e656187-b300-4fb0-8bf4-3a50f872073c">2021-03-04T08:17:39Z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2021-03-02T23:00:00Z</Date_x0020_protokolli>
    <Titulli xmlns="0e656187-b300-4fb0-8bf4-3a50f872073c">Çështja "Budo kundër Shqipërisë"</Titulli>
    <Modifikuesi xmlns="0e656187-b300-4fb0-8bf4-3a50f872073c">Fjora.Korita</Modifikuesi>
    <Nr_x002e__x0020_prot_x0020_QBZ xmlns="0e656187-b300-4fb0-8bf4-3a50f872073c">366</Nr_x002e__x0020_prot_x0020_QBZ>
    <Data_x0020_e_x0020_Modifikimit xmlns="0e656187-b300-4fb0-8bf4-3a50f872073c">2021-03-04T09:25:46Z</Data_x0020_e_x0020_Modifikimit>
    <Dekretuar xmlns="0e656187-b300-4fb0-8bf4-3a50f872073c">false</Dekretuar>
    <Data xmlns="0e656187-b300-4fb0-8bf4-3a50f872073c">2021-02-03T23:00:00Z</Data>
    <Nr_x002e__x0020_protokolli_x0020_i_x0020_aktit xmlns="0e656187-b300-4fb0-8bf4-3a50f872073c">5255/3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B74E2124601C48F1868BF1D9A0B3B60D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187B7-D4F1-4F5C-AFA0-B7ED2E69A268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e656187-b300-4fb0-8bf4-3a50f872073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E213CE-2FA4-456E-A3FE-31AB2EE33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29763DF-1FC1-47BA-8A93-62D050B187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8BAA64-CBEB-4BE4-9BD5-B4E9EC82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Çështja "Budo kundër Shqipërisë"</vt:lpstr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Çështja "Budo kundër Shqipërisë"</dc:title>
  <dc:creator>DKT</dc:creator>
  <cp:lastModifiedBy>Jonida Zaharia</cp:lastModifiedBy>
  <cp:revision>2</cp:revision>
  <dcterms:created xsi:type="dcterms:W3CDTF">2024-03-11T14:33:00Z</dcterms:created>
  <dcterms:modified xsi:type="dcterms:W3CDTF">2024-03-11T14:33:00Z</dcterms:modified>
</cp:coreProperties>
</file>