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9421D" w14:textId="78DEE960" w:rsidR="005743A9" w:rsidRDefault="005743A9" w:rsidP="003B3037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  <w:bookmarkStart w:id="0" w:name="_Hlk75456740"/>
      <w:bookmarkStart w:id="1" w:name="_GoBack"/>
      <w:bookmarkEnd w:id="1"/>
      <w:r w:rsidRPr="003B3037">
        <w:rPr>
          <w:rFonts w:ascii="Garamond" w:hAnsi="Garamond" w:cs="Times New Roman"/>
          <w:color w:val="000000"/>
        </w:rPr>
        <w:t>GJYKATA</w:t>
      </w:r>
      <w:r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EVROPIANE</w:t>
      </w:r>
      <w:r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DREJTAVE</w:t>
      </w:r>
      <w:r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NJERIUT</w:t>
      </w:r>
    </w:p>
    <w:p w14:paraId="7ED40C90" w14:textId="45849BB3" w:rsidR="003B3037" w:rsidRPr="003B3037" w:rsidRDefault="003B3037" w:rsidP="003B3037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SEKSIONI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TRETË</w:t>
      </w:r>
    </w:p>
    <w:p w14:paraId="002F591D" w14:textId="77777777" w:rsidR="003B3037" w:rsidRDefault="003B3037" w:rsidP="003B3037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</w:p>
    <w:p w14:paraId="27F2F4DD" w14:textId="28FFC909" w:rsidR="003B3037" w:rsidRPr="003B3037" w:rsidRDefault="003B3037" w:rsidP="003B3037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  <w:r w:rsidRPr="003B3037">
        <w:rPr>
          <w:rFonts w:ascii="Garamond" w:hAnsi="Garamond" w:cs="Times New Roman"/>
          <w:b/>
          <w:color w:val="000000"/>
        </w:rPr>
        <w:t>VENDIM</w:t>
      </w:r>
    </w:p>
    <w:p w14:paraId="2EA88233" w14:textId="61C2B0F7" w:rsidR="003B3037" w:rsidRPr="00E870B6" w:rsidRDefault="00E870B6" w:rsidP="003B3037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bCs/>
          <w:color w:val="000000"/>
        </w:rPr>
      </w:pPr>
      <w:r w:rsidRPr="00E870B6">
        <w:rPr>
          <w:rFonts w:ascii="Garamond" w:hAnsi="Garamond" w:cs="Times New Roman"/>
          <w:b/>
          <w:bCs/>
          <w:color w:val="000000"/>
        </w:rPr>
        <w:t>KËRKESA</w:t>
      </w:r>
      <w:r w:rsidR="00A67461">
        <w:rPr>
          <w:rFonts w:ascii="Garamond" w:hAnsi="Garamond" w:cs="Times New Roman"/>
          <w:b/>
          <w:bCs/>
          <w:color w:val="000000"/>
        </w:rPr>
        <w:t xml:space="preserve"> </w:t>
      </w:r>
      <w:r w:rsidRPr="00E870B6">
        <w:rPr>
          <w:rFonts w:ascii="Garamond" w:hAnsi="Garamond" w:cs="Times New Roman"/>
          <w:b/>
          <w:bCs/>
          <w:color w:val="000000"/>
        </w:rPr>
        <w:t>NR.</w:t>
      </w:r>
      <w:r w:rsidR="00A67461">
        <w:rPr>
          <w:rFonts w:ascii="Garamond" w:hAnsi="Garamond" w:cs="Times New Roman"/>
          <w:b/>
          <w:bCs/>
          <w:color w:val="000000"/>
        </w:rPr>
        <w:t xml:space="preserve"> </w:t>
      </w:r>
      <w:r w:rsidRPr="00E870B6">
        <w:rPr>
          <w:rFonts w:ascii="Garamond" w:hAnsi="Garamond" w:cs="Times New Roman"/>
          <w:b/>
          <w:bCs/>
          <w:color w:val="000000"/>
        </w:rPr>
        <w:t>38924/13</w:t>
      </w:r>
    </w:p>
    <w:p w14:paraId="1C8FF6B3" w14:textId="77777777" w:rsidR="00E870B6" w:rsidRDefault="00E870B6" w:rsidP="00E870B6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bCs/>
          <w:color w:val="000000"/>
        </w:rPr>
      </w:pPr>
    </w:p>
    <w:p w14:paraId="042FA3D5" w14:textId="31390772" w:rsidR="003B3037" w:rsidRPr="00E870B6" w:rsidRDefault="00E870B6" w:rsidP="00E870B6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bCs/>
          <w:color w:val="000000"/>
        </w:rPr>
      </w:pPr>
      <w:r w:rsidRPr="00E870B6">
        <w:rPr>
          <w:rFonts w:ascii="Garamond" w:hAnsi="Garamond" w:cs="Times New Roman"/>
          <w:b/>
          <w:bCs/>
          <w:color w:val="000000"/>
        </w:rPr>
        <w:t>HASAN</w:t>
      </w:r>
      <w:r w:rsidR="00A67461">
        <w:rPr>
          <w:rFonts w:ascii="Garamond" w:hAnsi="Garamond" w:cs="Times New Roman"/>
          <w:b/>
          <w:bCs/>
          <w:color w:val="000000"/>
        </w:rPr>
        <w:t xml:space="preserve"> </w:t>
      </w:r>
      <w:r w:rsidRPr="00E870B6">
        <w:rPr>
          <w:rFonts w:ascii="Garamond" w:hAnsi="Garamond" w:cs="Times New Roman"/>
          <w:b/>
          <w:bCs/>
          <w:color w:val="000000"/>
        </w:rPr>
        <w:t>BUCI</w:t>
      </w:r>
      <w:r w:rsidR="00A67461">
        <w:rPr>
          <w:rFonts w:ascii="Garamond" w:hAnsi="Garamond" w:cs="Times New Roman"/>
          <w:b/>
          <w:bCs/>
          <w:color w:val="000000"/>
        </w:rPr>
        <w:t xml:space="preserve"> </w:t>
      </w:r>
      <w:r w:rsidRPr="00E870B6">
        <w:rPr>
          <w:rFonts w:ascii="Garamond" w:hAnsi="Garamond" w:cs="Times New Roman"/>
          <w:b/>
          <w:bCs/>
          <w:color w:val="000000"/>
        </w:rPr>
        <w:t>KUNDËR</w:t>
      </w:r>
      <w:r w:rsidR="00A67461">
        <w:rPr>
          <w:rFonts w:ascii="Garamond" w:hAnsi="Garamond" w:cs="Times New Roman"/>
          <w:b/>
          <w:bCs/>
          <w:color w:val="000000"/>
        </w:rPr>
        <w:t xml:space="preserve"> </w:t>
      </w:r>
      <w:r w:rsidRPr="00E870B6">
        <w:rPr>
          <w:rFonts w:ascii="Garamond" w:hAnsi="Garamond" w:cs="Times New Roman"/>
          <w:b/>
          <w:bCs/>
          <w:color w:val="000000"/>
        </w:rPr>
        <w:t>SHQIPËRISË</w:t>
      </w:r>
    </w:p>
    <w:p w14:paraId="32ACE212" w14:textId="77777777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</w:p>
    <w:p w14:paraId="2D698F27" w14:textId="77777777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  <w:sz w:val="8"/>
          <w:szCs w:val="8"/>
        </w:rPr>
      </w:pPr>
    </w:p>
    <w:p w14:paraId="45A59100" w14:textId="075ADFCD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Evropiane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Drejtave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Njeriut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(Seksioni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Tretë)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mbledhur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5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korrik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2022,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Komision,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përbërë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nga: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7BB891ED" w14:textId="41A61731" w:rsidR="003B3037" w:rsidRPr="003B3037" w:rsidRDefault="00A67461" w:rsidP="003B3037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  <w:color w:val="000000"/>
        </w:rPr>
      </w:pPr>
      <w:r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Andreas</w:t>
      </w:r>
      <w:r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Zünd,</w:t>
      </w:r>
      <w:r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kryetar</w:t>
      </w:r>
      <w:r w:rsidR="003B3037" w:rsidRPr="003B3037">
        <w:rPr>
          <w:rFonts w:ascii="Garamond" w:hAnsi="Garamond" w:cs="Times New Roman"/>
          <w:i/>
          <w:iCs/>
          <w:color w:val="000000"/>
        </w:rPr>
        <w:t>,</w:t>
      </w:r>
    </w:p>
    <w:p w14:paraId="72C324A2" w14:textId="465DF65C" w:rsidR="003B3037" w:rsidRPr="003B3037" w:rsidRDefault="00A67461" w:rsidP="003B3037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  <w:color w:val="000000"/>
        </w:rPr>
      </w:pPr>
      <w:r>
        <w:rPr>
          <w:rFonts w:ascii="Garamond" w:hAnsi="Garamond" w:cs="Times New Roman"/>
          <w:i/>
          <w:iCs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Darian</w:t>
      </w:r>
      <w:r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Pavli,</w:t>
      </w:r>
    </w:p>
    <w:p w14:paraId="43615EA7" w14:textId="7E64E7D9" w:rsidR="003B3037" w:rsidRPr="003B3037" w:rsidRDefault="00A67461" w:rsidP="003B3037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Mikhail</w:t>
      </w:r>
      <w:r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Lobov,</w:t>
      </w:r>
      <w:r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i/>
          <w:iCs/>
          <w:color w:val="000000"/>
        </w:rPr>
        <w:t>gjyqtarë,</w:t>
      </w:r>
    </w:p>
    <w:p w14:paraId="0978F3A1" w14:textId="519870E4" w:rsidR="003B3037" w:rsidRPr="003B3037" w:rsidRDefault="003B3037" w:rsidP="003B3037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Olga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Chernishova,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A67461" w:rsidRPr="003B3037">
        <w:rPr>
          <w:rFonts w:ascii="Garamond" w:hAnsi="Garamond" w:cs="Times New Roman"/>
          <w:i/>
          <w:iCs/>
          <w:color w:val="000000"/>
        </w:rPr>
        <w:t>zëvendëssekretare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e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="00A67461" w:rsidRPr="003B3037">
        <w:rPr>
          <w:rFonts w:ascii="Garamond" w:hAnsi="Garamond" w:cs="Times New Roman"/>
          <w:i/>
          <w:iCs/>
          <w:color w:val="000000"/>
        </w:rPr>
        <w:t>seksionit</w:t>
      </w:r>
      <w:r w:rsidRPr="003B3037">
        <w:rPr>
          <w:rFonts w:ascii="Garamond" w:hAnsi="Garamond" w:cs="Times New Roman"/>
          <w:i/>
          <w:iCs/>
          <w:color w:val="000000"/>
        </w:rPr>
        <w:t>,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</w:p>
    <w:p w14:paraId="00271B7E" w14:textId="3CE09C1D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Pasi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mori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konsideratë: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7756667E" w14:textId="79741607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kërkesën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(nr.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38924/13)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kundër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Republikës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Shqipërisë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përpara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Gjykatës,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mbështetje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5B0DA7" w:rsidRPr="003B3037">
        <w:rPr>
          <w:rFonts w:ascii="Garamond" w:hAnsi="Garamond" w:cs="Times New Roman"/>
          <w:color w:val="000000"/>
        </w:rPr>
        <w:t>nenit</w:t>
      </w:r>
      <w:r w:rsidR="005B0DA7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34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Konventës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Mbrojtjen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Drejtave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Njeriut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Lirive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Themelore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(“Konventa”),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15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prill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2013,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shtetas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shqiptar,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A67461" w:rsidRPr="003B3037">
        <w:rPr>
          <w:rFonts w:ascii="Garamond" w:hAnsi="Garamond" w:cs="Times New Roman"/>
          <w:color w:val="000000"/>
        </w:rPr>
        <w:t>z</w:t>
      </w:r>
      <w:r w:rsidRPr="003B3037">
        <w:rPr>
          <w:rFonts w:ascii="Garamond" w:hAnsi="Garamond" w:cs="Times New Roman"/>
          <w:color w:val="000000"/>
        </w:rPr>
        <w:t>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Hasan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Buci,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lindur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vitin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1968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banim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(“kërkuesi”),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cili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përfaqësua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z.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Rusi,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cili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ushtron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profesionin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Tiranë;</w:t>
      </w:r>
    </w:p>
    <w:p w14:paraId="48A6F90B" w14:textId="199F7D70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vendimin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t’ia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bërë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dijeni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5B0DA7" w:rsidRPr="003B3037">
        <w:rPr>
          <w:rFonts w:ascii="Garamond" w:hAnsi="Garamond" w:cs="Times New Roman"/>
          <w:color w:val="000000"/>
        </w:rPr>
        <w:t>qeverisë</w:t>
      </w:r>
      <w:r w:rsidR="005B0DA7">
        <w:rPr>
          <w:rFonts w:ascii="Garamond" w:hAnsi="Garamond" w:cs="Times New Roman"/>
          <w:color w:val="000000"/>
        </w:rPr>
        <w:t xml:space="preserve"> </w:t>
      </w:r>
      <w:r w:rsidR="005B0DA7" w:rsidRPr="003B3037">
        <w:rPr>
          <w:rFonts w:ascii="Garamond" w:hAnsi="Garamond" w:cs="Times New Roman"/>
          <w:color w:val="000000"/>
        </w:rPr>
        <w:t>shqiptare</w:t>
      </w:r>
      <w:r w:rsidR="005B0DA7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(“Qeveria”),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përfaqësuar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5B0DA7" w:rsidRPr="003B3037">
        <w:rPr>
          <w:rFonts w:ascii="Garamond" w:hAnsi="Garamond" w:cs="Times New Roman"/>
          <w:color w:val="000000"/>
        </w:rPr>
        <w:t>agjenti</w:t>
      </w:r>
      <w:r w:rsidR="005B0DA7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saj,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z</w:t>
      </w:r>
      <w:r w:rsidR="00A67461">
        <w:rPr>
          <w:rFonts w:ascii="Garamond" w:hAnsi="Garamond" w:cs="Times New Roman"/>
          <w:color w:val="000000"/>
        </w:rPr>
        <w:t>n</w:t>
      </w:r>
      <w:r w:rsidRPr="003B3037">
        <w:rPr>
          <w:rFonts w:ascii="Garamond" w:hAnsi="Garamond" w:cs="Times New Roman"/>
          <w:color w:val="000000"/>
        </w:rPr>
        <w:t>j.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Alma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Hicka,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Avokatja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Përgjithshme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Shtetit;</w:t>
      </w:r>
    </w:p>
    <w:p w14:paraId="48ACFA3B" w14:textId="77C9F5DF" w:rsidR="003B3037" w:rsidRPr="003B3037" w:rsidRDefault="003B3037" w:rsidP="005B0DA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konstatimet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palëve</w:t>
      </w:r>
      <w:r w:rsidR="005B0DA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2F087E1B" w14:textId="636391C4" w:rsidR="003B3037" w:rsidRPr="003B3037" w:rsidRDefault="005B0DA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pasi</w:t>
      </w:r>
      <w:r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diskutoi,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vendos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si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3B3037" w:rsidRPr="003B3037">
        <w:rPr>
          <w:rFonts w:ascii="Garamond" w:hAnsi="Garamond" w:cs="Times New Roman"/>
          <w:color w:val="000000"/>
        </w:rPr>
        <w:t>poshtë: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22ADC262" w14:textId="259899E0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LËNDA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ÇËSHTJES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457E9863" w14:textId="67180FB2" w:rsidR="003B3037" w:rsidRPr="003B3037" w:rsidRDefault="003B3037" w:rsidP="00011365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1.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Çështja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bëjë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drejtësinë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procedurave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penale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përpara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Rrethit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Mat,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akuzat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vrasje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paramendim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mbajtje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leje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armëve,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zhvilluar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Policia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kërkoi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adresën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mësoi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vendit.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procedura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penale,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përfaqësua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caktuar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7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qershor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2007,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Rrethit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dënoi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tetëmbëdhjetë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</w:t>
      </w:r>
      <w:r w:rsidR="00DE6E97">
        <w:rPr>
          <w:rFonts w:ascii="Garamond" w:hAnsi="Garamond" w:cs="Times New Roman"/>
          <w:color w:val="000000"/>
        </w:rPr>
        <w:t>jet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burgim.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14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qershor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2007,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caktuar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vëllai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veçantë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dënimit.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Vëllai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nënshkroi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prokurë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11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tetor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2007</w:t>
      </w:r>
      <w:r w:rsidR="00011365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përfaqësonte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P.R.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Apelimet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caktuar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vëllai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rrëzuan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dy</w:t>
      </w:r>
      <w:r w:rsidR="00011365">
        <w:rPr>
          <w:rFonts w:ascii="Garamond" w:hAnsi="Garamond" w:cs="Times New Roman"/>
          <w:color w:val="000000"/>
        </w:rPr>
        <w:t>ja,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meritat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Tiranë,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24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tetor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2007.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vijim,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P.R.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bëri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Lartë,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cili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rrëzua;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15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janar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2010,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Lartë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fuqi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24A8DC6B" w14:textId="2FA4673B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2.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arrestua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Athinë</w:t>
      </w:r>
      <w:r w:rsidR="00011365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25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mars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2010</w:t>
      </w:r>
      <w:r w:rsidR="00011365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ekstradua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Shqipëri</w:t>
      </w:r>
      <w:r w:rsidR="00011365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27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mars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2010.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arrestimit,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kërkonte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leje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afateve,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leje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cila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Rrethit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vitin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2011,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rrëzua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Tiranë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vitin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2011,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fund,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Lartë</w:t>
      </w:r>
      <w:r w:rsidR="00011365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8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mars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2012,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argumentin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bërë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res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judicata</w:t>
      </w:r>
      <w:r w:rsidRPr="003B303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arsye,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ridëgjimi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mundur.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7D1CAF29" w14:textId="37263899" w:rsidR="003B3037" w:rsidRPr="003B3037" w:rsidRDefault="003B3037" w:rsidP="00011365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3.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pas,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cila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deklarua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papranueshme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</w:t>
      </w:r>
      <w:r w:rsidR="00011365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19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dhjetor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2012,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afatit,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konkretisht</w:t>
      </w:r>
      <w:r w:rsidR="00011365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vonë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dy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</w:t>
      </w:r>
      <w:r w:rsidR="00011365">
        <w:rPr>
          <w:rFonts w:ascii="Garamond" w:hAnsi="Garamond" w:cs="Times New Roman"/>
          <w:color w:val="000000"/>
        </w:rPr>
        <w:t>jet,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bërë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dijeni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mbi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procedurat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kundër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5078C43C" w14:textId="50F15BA0" w:rsidR="003B3037" w:rsidRPr="003B3037" w:rsidRDefault="003B3037" w:rsidP="00E36B88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4.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E36B88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ankua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bazë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E36B88" w:rsidRPr="003B3037">
        <w:rPr>
          <w:rFonts w:ascii="Garamond" w:hAnsi="Garamond" w:cs="Times New Roman"/>
          <w:color w:val="000000"/>
        </w:rPr>
        <w:t>nenit</w:t>
      </w:r>
      <w:r w:rsidR="00E36B88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6§§1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3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Konventës</w:t>
      </w:r>
      <w:r w:rsidR="00E36B88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shkelje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drejtës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drejtë,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konkretisht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drejta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marrë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pjesë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personalisht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procedurat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penale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kundër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t’u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përfaqësuar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zgjedhur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prej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44C06FA9" w14:textId="52E2FDA3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VLERËSIMI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GJYKATËS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01A94418" w14:textId="298899A5" w:rsidR="003B3037" w:rsidRPr="003B3037" w:rsidRDefault="003B3037" w:rsidP="0046133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lastRenderedPageBreak/>
        <w:t>5.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Qeveria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parashtroi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përdorur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mënyrën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duhur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brendshme.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E36B88">
        <w:rPr>
          <w:rFonts w:ascii="Garamond" w:hAnsi="Garamond" w:cs="Times New Roman"/>
          <w:color w:val="000000"/>
        </w:rPr>
        <w:t>apelim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afatit,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Megjithatë,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papranueshëm</w:t>
      </w:r>
      <w:r w:rsidR="00E36B88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sipas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praktikës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përcaktuar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Lartë,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cila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parashikonte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situatë</w:t>
      </w:r>
      <w:r w:rsidR="00E36B88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familja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akuzuari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caktuar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familja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akuzuarin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lënë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fuqi,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mëpasshëm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afatit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kohor,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vet</w:t>
      </w:r>
      <w:r w:rsidR="00E36B88">
        <w:rPr>
          <w:rFonts w:ascii="Garamond" w:hAnsi="Garamond" w:cs="Times New Roman"/>
          <w:color w:val="000000"/>
        </w:rPr>
        <w:t>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akuzuari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pranueshëm.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Qeveria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argumentoi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vend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paraqiste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qartazi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papranueshme,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duhej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rishqyrtim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dy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</w:t>
      </w:r>
      <w:r w:rsidR="0046133A">
        <w:rPr>
          <w:rFonts w:ascii="Garamond" w:hAnsi="Garamond" w:cs="Times New Roman"/>
          <w:color w:val="000000"/>
        </w:rPr>
        <w:t>jetëve</w:t>
      </w:r>
      <w:r w:rsidR="00CA52A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vënë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dijeni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Megjithatë,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afati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CA52A7">
        <w:rPr>
          <w:rFonts w:ascii="Garamond" w:hAnsi="Garamond" w:cs="Times New Roman"/>
          <w:color w:val="000000"/>
        </w:rPr>
        <w:t>kohor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CA52A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arsye,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deklaruar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papranueshme.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55A5EE5C" w14:textId="17FBE541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6.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argumentoi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përdorur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mënyrën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duhur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brendshme.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59B62E9E" w14:textId="2D129DC6" w:rsidR="003B3037" w:rsidRPr="003B3037" w:rsidRDefault="003B3037" w:rsidP="00DE1A2B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7.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Parimet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përgjithshme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lidhje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shterimin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mjeteve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brendshme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parimi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subsidiaritetit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përmbledhur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vendimin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Vučković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dhe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të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="00FE2B56" w:rsidRPr="003B3037">
        <w:rPr>
          <w:rFonts w:ascii="Garamond" w:hAnsi="Garamond" w:cs="Times New Roman"/>
          <w:i/>
          <w:iCs/>
          <w:color w:val="000000"/>
        </w:rPr>
        <w:t>Tjerë</w:t>
      </w:r>
      <w:r w:rsidR="00FE2B56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kundër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Serbisë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="00E94EAC">
        <w:rPr>
          <w:rFonts w:ascii="Garamond" w:hAnsi="Garamond" w:cs="Times New Roman"/>
          <w:color w:val="000000"/>
        </w:rPr>
        <w:t>(</w:t>
      </w:r>
      <w:r w:rsidRPr="003B3037">
        <w:rPr>
          <w:rFonts w:ascii="Garamond" w:hAnsi="Garamond" w:cs="Times New Roman"/>
          <w:color w:val="000000"/>
        </w:rPr>
        <w:t>kundërshtim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paraprak)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[DHM],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nr.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17153/11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29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tjerë,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§§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69</w:t>
      </w:r>
      <w:r w:rsidR="00E94EAC">
        <w:rPr>
          <w:rFonts w:ascii="Garamond" w:hAnsi="Garamond" w:cs="Times New Roman"/>
          <w:color w:val="000000"/>
        </w:rPr>
        <w:t>–</w:t>
      </w:r>
      <w:r w:rsidRPr="003B3037">
        <w:rPr>
          <w:rFonts w:ascii="Garamond" w:hAnsi="Garamond" w:cs="Times New Roman"/>
          <w:color w:val="000000"/>
        </w:rPr>
        <w:t>77,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25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mars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2014).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Gjithashtu,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thekson</w:t>
      </w:r>
      <w:r w:rsidR="00E94EAC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E94EAC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ligji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brendshëm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parashikon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mjetesh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paralele,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cili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përfitojë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kompensim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shkelje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pretenduar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Konventës</w:t>
      </w:r>
      <w:r w:rsidR="00E94EAC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njërit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prej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këtyre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mjeteve,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kërkohet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përdorë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domosdoshmërisht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tjer</w:t>
      </w:r>
      <w:r w:rsidR="00E94EAC">
        <w:rPr>
          <w:rFonts w:ascii="Garamond" w:hAnsi="Garamond" w:cs="Times New Roman"/>
          <w:color w:val="000000"/>
        </w:rPr>
        <w:t>a</w:t>
      </w:r>
      <w:r w:rsidRPr="003B303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cil</w:t>
      </w:r>
      <w:r w:rsidR="00DE1A2B">
        <w:rPr>
          <w:rFonts w:ascii="Garamond" w:hAnsi="Garamond" w:cs="Times New Roman"/>
          <w:color w:val="000000"/>
        </w:rPr>
        <w:t>a</w:t>
      </w:r>
      <w:r w:rsidRPr="003B3037">
        <w:rPr>
          <w:rFonts w:ascii="Garamond" w:hAnsi="Garamond" w:cs="Times New Roman"/>
          <w:color w:val="000000"/>
        </w:rPr>
        <w:t>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thelb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kanë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njëjtin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objektiv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(shih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Shkalla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kundër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Shqipërisë</w:t>
      </w:r>
      <w:r w:rsidRPr="003B303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nr.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26866/05,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§61,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10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2011;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Garcia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Gonzales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kundër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Spanjës</w:t>
      </w:r>
      <w:r w:rsidRPr="003B303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nr.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65107/16,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§63,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6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tetor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2020).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3D27379E" w14:textId="76ECD720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8.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vëren</w:t>
      </w:r>
      <w:r w:rsidR="0018611B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fillimisht,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mund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duket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mundësi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zgjedhur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midis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mjeteve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ndryshme.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Megjithatë,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sipas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praktikës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gjatë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Gjykatë</w:t>
      </w:r>
      <w:r w:rsidR="0018611B">
        <w:rPr>
          <w:rFonts w:ascii="Garamond" w:hAnsi="Garamond" w:cs="Times New Roman"/>
          <w:color w:val="000000"/>
        </w:rPr>
        <w:t>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Lartë,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akuzuar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mund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aplikonte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sukses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afatit</w:t>
      </w:r>
      <w:r w:rsidR="003A69A6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rastet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anëtarët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familjes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3A69A6">
        <w:rPr>
          <w:rFonts w:ascii="Garamond" w:hAnsi="Garamond" w:cs="Times New Roman"/>
          <w:color w:val="000000"/>
        </w:rPr>
        <w:t>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caktuar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familja,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tashmë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lënë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fuqi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(shih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Shkalla</w:t>
      </w:r>
      <w:r w:rsidRPr="003B303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sipër,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§60).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Lartë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mori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vendim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çështje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vitin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2008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publikoi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faqen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zyrtare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(shih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Sulejmani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kundër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Shqipërisë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(vendim),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nr.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16114/10,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§§10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11,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9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qershor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2012;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shih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Izet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Haxhia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kundër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Shqipërisë,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nr.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34783/06,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§§54</w:t>
      </w:r>
      <w:r w:rsidR="003A69A6">
        <w:rPr>
          <w:rFonts w:ascii="Garamond" w:hAnsi="Garamond" w:cs="Times New Roman"/>
          <w:color w:val="000000"/>
        </w:rPr>
        <w:t>–</w:t>
      </w:r>
      <w:r w:rsidRPr="003B3037">
        <w:rPr>
          <w:rFonts w:ascii="Garamond" w:hAnsi="Garamond" w:cs="Times New Roman"/>
          <w:color w:val="000000"/>
        </w:rPr>
        <w:t>56,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5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nëntor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2013).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248D8889" w14:textId="147A9E50" w:rsidR="003B3037" w:rsidRPr="003B3037" w:rsidRDefault="003B3037" w:rsidP="003A69A6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9.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çështjen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konkrete,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vëllai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prokurë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P.R.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11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tetor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2007.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ajo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prokurë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deklaronte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vëllai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jepte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drejtën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përfaqësim,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është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qartë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tillë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gabuar,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duke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qenë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përfaqësuar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seancën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përpara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Rrethit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Tiranë,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përpara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Lartë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kundër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gjitha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qëllimet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zgjedhur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familja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vepronte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avokat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emër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vëllai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gjith</w:t>
      </w:r>
      <w:r w:rsidR="003A69A6">
        <w:rPr>
          <w:rFonts w:ascii="Garamond" w:hAnsi="Garamond" w:cs="Times New Roman"/>
          <w:color w:val="000000"/>
        </w:rPr>
        <w:t>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apelimet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rrëzuar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meritat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mbetur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fuqi.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rrjedhojë,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duke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përtej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afatit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përdori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joefikas,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sepse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ofronte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garanci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arsyeshme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sukses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(shih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Vučković</w:t>
      </w:r>
      <w:r w:rsidRPr="003B303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sipër,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§74).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64BBA4F7" w14:textId="2D8FCD83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10.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lidhje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pamundësinë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shqyrtimin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vendimi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formës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prerë,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duhet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marrë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vendim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aspekt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çështje,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sepse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është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papranueshme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çdo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këndvështrim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arsyet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mëposhtme.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0DB49696" w14:textId="47E0B91B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11.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Tashmë</w:t>
      </w:r>
      <w:r w:rsidR="008E5E1F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vendosur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datës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26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nëntor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2009,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mund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shkarkoheshin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nga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detyrimi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tyre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tyre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Shqipëri</w:t>
      </w:r>
      <w:r w:rsidR="008E5E1F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ekstraduar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Shqipëri,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ata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duhej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paraqisnin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kopje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vendimit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dhënë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(shih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Izet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Haxhia,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sipër,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§50).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periudhë,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praktika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tregonte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ajo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mund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pranonte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ekstradimit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apeluesit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Shqipëri,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njoftuan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vendimet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dhëna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(shih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Izet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Haxhia</w:t>
      </w:r>
      <w:r w:rsidRPr="003B303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sipër,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§41).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rrethanë,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disponueshëm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mjaftueshëm,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sigurt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teori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praktikë.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6401BFD2" w14:textId="4AE1A4D0" w:rsidR="003B3037" w:rsidRPr="003B3037" w:rsidRDefault="003B3037" w:rsidP="008E5E1F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lastRenderedPageBreak/>
        <w:t>12.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ekstradua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27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mars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8E5E1F">
        <w:rPr>
          <w:rFonts w:ascii="Garamond" w:hAnsi="Garamond" w:cs="Times New Roman"/>
          <w:color w:val="000000"/>
        </w:rPr>
        <w:t>2010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8E5E1F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arsye</w:t>
      </w:r>
      <w:r w:rsidR="008E5E1F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duhej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paraqiste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ndaj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dënimit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tij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mungesë</w:t>
      </w:r>
      <w:r w:rsidR="008E5E1F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dy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v</w:t>
      </w:r>
      <w:r w:rsidR="008E5E1F">
        <w:rPr>
          <w:rFonts w:ascii="Garamond" w:hAnsi="Garamond" w:cs="Times New Roman"/>
          <w:color w:val="000000"/>
        </w:rPr>
        <w:t>jetëve</w:t>
      </w:r>
      <w:r w:rsidRPr="003B3037">
        <w:rPr>
          <w:rFonts w:ascii="Garamond" w:hAnsi="Garamond" w:cs="Times New Roman"/>
          <w:color w:val="000000"/>
        </w:rPr>
        <w:t>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Megjithatë,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ankesa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kushtetuese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u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paraqit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jashtë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afatit.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rrethana,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kërkuesi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përdori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mënyrën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duhur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disponueshëm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brendshëm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mënyrë,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nuk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kishte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respektuar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që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i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brendshëm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duhet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përdoret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përputhje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kërkesat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formale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afatet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parashikuara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ligjin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brendshëm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(shih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Vučković</w:t>
      </w:r>
      <w:r w:rsidRPr="003B3037">
        <w:rPr>
          <w:rFonts w:ascii="Garamond" w:hAnsi="Garamond" w:cs="Times New Roman"/>
          <w:color w:val="000000"/>
        </w:rPr>
        <w:t>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cituar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sipër,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§72).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3228D87F" w14:textId="41A2843E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13.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rrethana,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kërkesa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duhet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kundërshtohet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mbështetje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F9254C" w:rsidRPr="003B3037">
        <w:rPr>
          <w:rFonts w:ascii="Garamond" w:hAnsi="Garamond" w:cs="Times New Roman"/>
          <w:color w:val="000000"/>
        </w:rPr>
        <w:t>nenit</w:t>
      </w:r>
      <w:r w:rsidR="00F9254C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35§§1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4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Konventës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mosshterim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mjeteve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brendshme.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5FF65D2D" w14:textId="2FD447F2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Për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këto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arsye,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Gjykata,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mënyrë</w:t>
      </w:r>
      <w:r w:rsidR="00A67461">
        <w:rPr>
          <w:rFonts w:ascii="Garamond" w:hAnsi="Garamond" w:cs="Times New Roman"/>
          <w:color w:val="000000"/>
        </w:rPr>
        <w:t xml:space="preserve"> </w:t>
      </w:r>
      <w:r w:rsidR="00893FCD">
        <w:rPr>
          <w:rFonts w:ascii="Garamond" w:hAnsi="Garamond" w:cs="Times New Roman"/>
          <w:color w:val="000000"/>
        </w:rPr>
        <w:t>unanime: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799D8BCD" w14:textId="7B3B4D72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i/>
          <w:iCs/>
          <w:color w:val="000000"/>
        </w:rPr>
        <w:t>E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i/>
          <w:iCs/>
          <w:color w:val="000000"/>
        </w:rPr>
        <w:t>deklaron</w:t>
      </w:r>
      <w:r w:rsidR="00A67461">
        <w:rPr>
          <w:rFonts w:ascii="Garamond" w:hAnsi="Garamond" w:cs="Times New Roman"/>
          <w:i/>
          <w:iCs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kërkesën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të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papranueshme.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795ED185" w14:textId="3320B6F6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Hartuar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gjuhën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angleze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dhe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njoftuar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me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shkrim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më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28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korrik</w:t>
      </w:r>
      <w:r w:rsidR="00A67461">
        <w:rPr>
          <w:rFonts w:ascii="Garamond" w:hAnsi="Garamond" w:cs="Times New Roman"/>
          <w:color w:val="000000"/>
        </w:rPr>
        <w:t xml:space="preserve"> </w:t>
      </w:r>
      <w:r w:rsidRPr="003B3037">
        <w:rPr>
          <w:rFonts w:ascii="Garamond" w:hAnsi="Garamond" w:cs="Times New Roman"/>
          <w:color w:val="000000"/>
        </w:rPr>
        <w:t>2022.</w:t>
      </w:r>
      <w:r w:rsidR="00A67461">
        <w:rPr>
          <w:rFonts w:ascii="Garamond" w:hAnsi="Garamond" w:cs="Times New Roman"/>
          <w:color w:val="000000"/>
        </w:rPr>
        <w:t xml:space="preserve"> </w:t>
      </w:r>
    </w:p>
    <w:p w14:paraId="11C60AB0" w14:textId="77777777" w:rsidR="003B3037" w:rsidRPr="003B3037" w:rsidRDefault="003B3037" w:rsidP="003B30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</w:p>
    <w:p w14:paraId="027E8898" w14:textId="77777777" w:rsidR="00ED0BB4" w:rsidRDefault="00A67461" w:rsidP="00ED0BB4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b/>
          <w:color w:val="000000"/>
        </w:rPr>
      </w:pPr>
      <w:r>
        <w:rPr>
          <w:rFonts w:ascii="Garamond" w:hAnsi="Garamond" w:cs="Times New Roman"/>
          <w:b/>
          <w:color w:val="000000"/>
        </w:rPr>
        <w:t xml:space="preserve"> </w:t>
      </w:r>
      <w:r w:rsidR="003B3037" w:rsidRPr="003B3037">
        <w:rPr>
          <w:rFonts w:ascii="Garamond" w:hAnsi="Garamond" w:cs="Times New Roman"/>
          <w:b/>
          <w:color w:val="000000"/>
        </w:rPr>
        <w:t>Olga</w:t>
      </w:r>
      <w:r>
        <w:rPr>
          <w:rFonts w:ascii="Garamond" w:hAnsi="Garamond" w:cs="Times New Roman"/>
          <w:b/>
          <w:color w:val="000000"/>
        </w:rPr>
        <w:t xml:space="preserve"> </w:t>
      </w:r>
      <w:r w:rsidR="003B3037" w:rsidRPr="003B3037">
        <w:rPr>
          <w:rFonts w:ascii="Garamond" w:hAnsi="Garamond" w:cs="Times New Roman"/>
          <w:b/>
          <w:color w:val="000000"/>
        </w:rPr>
        <w:t>Chernishova</w:t>
      </w:r>
      <w:r>
        <w:rPr>
          <w:rFonts w:ascii="Garamond" w:hAnsi="Garamond" w:cs="Times New Roman"/>
          <w:b/>
          <w:color w:val="000000"/>
        </w:rPr>
        <w:t xml:space="preserve"> </w:t>
      </w:r>
    </w:p>
    <w:p w14:paraId="144EE82D" w14:textId="6979DD23" w:rsidR="00ED0BB4" w:rsidRDefault="00ED0BB4" w:rsidP="00ED0BB4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b/>
          <w:color w:val="000000"/>
        </w:rPr>
      </w:pPr>
      <w:r w:rsidRPr="003B3037">
        <w:rPr>
          <w:rFonts w:ascii="Garamond" w:hAnsi="Garamond" w:cs="Times New Roman"/>
          <w:color w:val="000000"/>
        </w:rPr>
        <w:t>ZËVENDËSSEKRETARE</w:t>
      </w:r>
    </w:p>
    <w:p w14:paraId="18513D17" w14:textId="77777777" w:rsidR="00ED0BB4" w:rsidRDefault="00ED0BB4" w:rsidP="00ED0BB4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b/>
          <w:color w:val="000000"/>
        </w:rPr>
      </w:pPr>
    </w:p>
    <w:p w14:paraId="7594BE54" w14:textId="4B4AEC0F" w:rsidR="003B3037" w:rsidRPr="003B3037" w:rsidRDefault="003B3037" w:rsidP="00ED0BB4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b/>
          <w:color w:val="000000"/>
        </w:rPr>
      </w:pPr>
      <w:r w:rsidRPr="003B3037">
        <w:rPr>
          <w:rFonts w:ascii="Garamond" w:hAnsi="Garamond" w:cs="Times New Roman"/>
          <w:b/>
          <w:color w:val="000000"/>
        </w:rPr>
        <w:t>Andreas</w:t>
      </w:r>
      <w:r w:rsidR="00A67461">
        <w:rPr>
          <w:rFonts w:ascii="Garamond" w:hAnsi="Garamond" w:cs="Times New Roman"/>
          <w:b/>
          <w:color w:val="000000"/>
        </w:rPr>
        <w:t xml:space="preserve"> </w:t>
      </w:r>
      <w:r w:rsidRPr="003B3037">
        <w:rPr>
          <w:rFonts w:ascii="Garamond" w:hAnsi="Garamond" w:cs="Times New Roman"/>
          <w:b/>
          <w:color w:val="000000"/>
        </w:rPr>
        <w:t>Zünd</w:t>
      </w:r>
    </w:p>
    <w:p w14:paraId="665685CA" w14:textId="16341080" w:rsidR="003B3037" w:rsidRPr="003B3037" w:rsidRDefault="00ED0BB4" w:rsidP="00ED0BB4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color w:val="000000"/>
        </w:rPr>
      </w:pPr>
      <w:r w:rsidRPr="003B3037">
        <w:rPr>
          <w:rFonts w:ascii="Garamond" w:hAnsi="Garamond" w:cs="Times New Roman"/>
          <w:color w:val="000000"/>
        </w:rPr>
        <w:t>KRYETAR</w:t>
      </w:r>
      <w:r>
        <w:rPr>
          <w:rFonts w:ascii="Garamond" w:hAnsi="Garamond" w:cs="Times New Roman"/>
          <w:color w:val="000000"/>
        </w:rPr>
        <w:t xml:space="preserve"> </w:t>
      </w:r>
    </w:p>
    <w:bookmarkEnd w:id="0"/>
    <w:p w14:paraId="2E1F1ED4" w14:textId="77777777" w:rsidR="00DC2D95" w:rsidRPr="003B3037" w:rsidRDefault="00DC2D95" w:rsidP="003B3037">
      <w:pPr>
        <w:ind w:firstLine="284"/>
        <w:jc w:val="both"/>
        <w:rPr>
          <w:rFonts w:ascii="Garamond" w:hAnsi="Garamond"/>
        </w:rPr>
      </w:pPr>
    </w:p>
    <w:sectPr w:rsidR="00DC2D95" w:rsidRPr="003B3037" w:rsidSect="005B0DA7">
      <w:pgSz w:w="12240" w:h="15840"/>
      <w:pgMar w:top="1440" w:right="1440" w:bottom="117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FD76E" w14:textId="77777777" w:rsidR="005743A9" w:rsidRPr="00DC2D95" w:rsidRDefault="005743A9">
      <w:r w:rsidRPr="00DC2D95">
        <w:separator/>
      </w:r>
    </w:p>
  </w:endnote>
  <w:endnote w:type="continuationSeparator" w:id="0">
    <w:p w14:paraId="1010D9DF" w14:textId="77777777" w:rsidR="005743A9" w:rsidRPr="00DC2D95" w:rsidRDefault="005743A9">
      <w:r w:rsidRPr="00DC2D95">
        <w:continuationSeparator/>
      </w:r>
    </w:p>
  </w:endnote>
  <w:endnote w:type="continuationNotice" w:id="1">
    <w:p w14:paraId="4B364C61" w14:textId="77777777" w:rsidR="005743A9" w:rsidRDefault="00574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E2C40" w14:textId="77777777" w:rsidR="005743A9" w:rsidRPr="00DC2D95" w:rsidRDefault="005743A9">
      <w:r w:rsidRPr="00DC2D95">
        <w:separator/>
      </w:r>
    </w:p>
  </w:footnote>
  <w:footnote w:type="continuationSeparator" w:id="0">
    <w:p w14:paraId="753EE012" w14:textId="77777777" w:rsidR="005743A9" w:rsidRPr="00DC2D95" w:rsidRDefault="005743A9">
      <w:r w:rsidRPr="00DC2D95">
        <w:continuationSeparator/>
      </w:r>
    </w:p>
  </w:footnote>
  <w:footnote w:type="continuationNotice" w:id="1">
    <w:p w14:paraId="5E996E3F" w14:textId="77777777" w:rsidR="005743A9" w:rsidRDefault="005743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ED607D"/>
    <w:multiLevelType w:val="hybridMultilevel"/>
    <w:tmpl w:val="D0B897FA"/>
    <w:lvl w:ilvl="0" w:tplc="A90A50A2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48F2261"/>
    <w:multiLevelType w:val="multilevel"/>
    <w:tmpl w:val="C8FE6436"/>
    <w:numStyleLink w:val="ECHRA1StyleList"/>
  </w:abstractNum>
  <w:abstractNum w:abstractNumId="11">
    <w:nsid w:val="06906F28"/>
    <w:multiLevelType w:val="hybridMultilevel"/>
    <w:tmpl w:val="9FB8ECA0"/>
    <w:lvl w:ilvl="0" w:tplc="DA765B4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B4056B3"/>
    <w:multiLevelType w:val="hybridMultilevel"/>
    <w:tmpl w:val="8A9AA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F5BFC"/>
    <w:multiLevelType w:val="multilevel"/>
    <w:tmpl w:val="79FEA660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4">
    <w:nsid w:val="150A561F"/>
    <w:multiLevelType w:val="hybridMultilevel"/>
    <w:tmpl w:val="5AA62832"/>
    <w:lvl w:ilvl="0" w:tplc="49CEC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F55A9E"/>
    <w:multiLevelType w:val="hybridMultilevel"/>
    <w:tmpl w:val="5CB0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1B6A59FE"/>
    <w:multiLevelType w:val="hybridMultilevel"/>
    <w:tmpl w:val="61AA1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A4DBE"/>
    <w:multiLevelType w:val="hybridMultilevel"/>
    <w:tmpl w:val="EE90C8E4"/>
    <w:lvl w:ilvl="0" w:tplc="972C1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04A6243"/>
    <w:multiLevelType w:val="hybridMultilevel"/>
    <w:tmpl w:val="F0CC71C2"/>
    <w:lvl w:ilvl="0" w:tplc="0D9EBF8C">
      <w:start w:val="1"/>
      <w:numFmt w:val="lowerLetter"/>
      <w:lvlText w:val="(%1)"/>
      <w:lvlJc w:val="left"/>
      <w:pPr>
        <w:ind w:left="644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2233E37"/>
    <w:multiLevelType w:val="hybridMultilevel"/>
    <w:tmpl w:val="837C8C46"/>
    <w:lvl w:ilvl="0" w:tplc="8FF04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CB51E06"/>
    <w:multiLevelType w:val="hybridMultilevel"/>
    <w:tmpl w:val="B128E5A0"/>
    <w:lvl w:ilvl="0" w:tplc="38E63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01F30CC"/>
    <w:multiLevelType w:val="hybridMultilevel"/>
    <w:tmpl w:val="B3A0A312"/>
    <w:lvl w:ilvl="0" w:tplc="B2BEA29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2696EB6"/>
    <w:multiLevelType w:val="hybridMultilevel"/>
    <w:tmpl w:val="E2AED25E"/>
    <w:lvl w:ilvl="0" w:tplc="8D04415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28">
    <w:nsid w:val="4A722B15"/>
    <w:multiLevelType w:val="hybridMultilevel"/>
    <w:tmpl w:val="78D4B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30">
    <w:nsid w:val="52247AF7"/>
    <w:multiLevelType w:val="hybridMultilevel"/>
    <w:tmpl w:val="61DE0A3C"/>
    <w:lvl w:ilvl="0" w:tplc="67664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982584"/>
    <w:multiLevelType w:val="hybridMultilevel"/>
    <w:tmpl w:val="21E6E4A2"/>
    <w:lvl w:ilvl="0" w:tplc="49D250F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726310FE"/>
    <w:multiLevelType w:val="hybridMultilevel"/>
    <w:tmpl w:val="09101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61E34"/>
    <w:multiLevelType w:val="hybridMultilevel"/>
    <w:tmpl w:val="6C58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F6F7C"/>
    <w:multiLevelType w:val="hybridMultilevel"/>
    <w:tmpl w:val="34028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A0262"/>
    <w:multiLevelType w:val="hybridMultilevel"/>
    <w:tmpl w:val="8ED62104"/>
    <w:lvl w:ilvl="0" w:tplc="0E7E60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054552"/>
    <w:multiLevelType w:val="hybridMultilevel"/>
    <w:tmpl w:val="B798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6"/>
  </w:num>
  <w:num w:numId="4">
    <w:abstractNumId w:val="27"/>
  </w:num>
  <w:num w:numId="5">
    <w:abstractNumId w:val="22"/>
  </w:num>
  <w:num w:numId="6">
    <w:abstractNumId w:val="29"/>
  </w:num>
  <w:num w:numId="7">
    <w:abstractNumId w:val="27"/>
  </w:num>
  <w:num w:numId="8">
    <w:abstractNumId w:val="29"/>
  </w:num>
  <w:num w:numId="9">
    <w:abstractNumId w:val="13"/>
  </w:num>
  <w:num w:numId="10">
    <w:abstractNumId w:val="10"/>
  </w:num>
  <w:num w:numId="11">
    <w:abstractNumId w:val="3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1"/>
  </w:num>
  <w:num w:numId="23">
    <w:abstractNumId w:val="21"/>
  </w:num>
  <w:num w:numId="24">
    <w:abstractNumId w:val="30"/>
  </w:num>
  <w:num w:numId="25">
    <w:abstractNumId w:val="36"/>
  </w:num>
  <w:num w:numId="26">
    <w:abstractNumId w:val="18"/>
  </w:num>
  <w:num w:numId="27">
    <w:abstractNumId w:val="14"/>
  </w:num>
  <w:num w:numId="28">
    <w:abstractNumId w:val="23"/>
  </w:num>
  <w:num w:numId="29">
    <w:abstractNumId w:val="31"/>
  </w:num>
  <w:num w:numId="30">
    <w:abstractNumId w:val="20"/>
  </w:num>
  <w:num w:numId="31">
    <w:abstractNumId w:val="26"/>
  </w:num>
  <w:num w:numId="32">
    <w:abstractNumId w:val="34"/>
  </w:num>
  <w:num w:numId="33">
    <w:abstractNumId w:val="12"/>
  </w:num>
  <w:num w:numId="34">
    <w:abstractNumId w:val="28"/>
  </w:num>
  <w:num w:numId="35">
    <w:abstractNumId w:val="37"/>
  </w:num>
  <w:num w:numId="36">
    <w:abstractNumId w:val="15"/>
  </w:num>
  <w:num w:numId="37">
    <w:abstractNumId w:val="35"/>
  </w:num>
  <w:num w:numId="38">
    <w:abstractNumId w:val="24"/>
  </w:num>
  <w:num w:numId="39">
    <w:abstractNumId w:val="33"/>
  </w:num>
  <w:num w:numId="4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3"/>
    <w:docVar w:name="EMM" w:val="0"/>
    <w:docVar w:name="NBEMMDOC" w:val="0"/>
  </w:docVars>
  <w:rsids>
    <w:rsidRoot w:val="00DC2D95"/>
    <w:rsid w:val="00011365"/>
    <w:rsid w:val="00016CA4"/>
    <w:rsid w:val="00016D46"/>
    <w:rsid w:val="0005109E"/>
    <w:rsid w:val="00052D03"/>
    <w:rsid w:val="0005568E"/>
    <w:rsid w:val="000658B1"/>
    <w:rsid w:val="00066A6C"/>
    <w:rsid w:val="00081483"/>
    <w:rsid w:val="00095FD8"/>
    <w:rsid w:val="00097514"/>
    <w:rsid w:val="000A5327"/>
    <w:rsid w:val="000A7592"/>
    <w:rsid w:val="000B1FA9"/>
    <w:rsid w:val="000B3B01"/>
    <w:rsid w:val="000C5DB6"/>
    <w:rsid w:val="000D0E41"/>
    <w:rsid w:val="000D61E7"/>
    <w:rsid w:val="000E3A89"/>
    <w:rsid w:val="000E49E4"/>
    <w:rsid w:val="000F4E59"/>
    <w:rsid w:val="0012779B"/>
    <w:rsid w:val="00131971"/>
    <w:rsid w:val="00131C8D"/>
    <w:rsid w:val="00132029"/>
    <w:rsid w:val="001541C2"/>
    <w:rsid w:val="0015464A"/>
    <w:rsid w:val="0015620F"/>
    <w:rsid w:val="00166CCA"/>
    <w:rsid w:val="00167676"/>
    <w:rsid w:val="001704AA"/>
    <w:rsid w:val="001706D9"/>
    <w:rsid w:val="00174974"/>
    <w:rsid w:val="00180553"/>
    <w:rsid w:val="0018611B"/>
    <w:rsid w:val="0019109B"/>
    <w:rsid w:val="00196C08"/>
    <w:rsid w:val="00197F33"/>
    <w:rsid w:val="001A642B"/>
    <w:rsid w:val="001C3398"/>
    <w:rsid w:val="001C43FA"/>
    <w:rsid w:val="001C7C3E"/>
    <w:rsid w:val="001D1233"/>
    <w:rsid w:val="001E5E02"/>
    <w:rsid w:val="001F04D1"/>
    <w:rsid w:val="002164AD"/>
    <w:rsid w:val="00216F37"/>
    <w:rsid w:val="00223591"/>
    <w:rsid w:val="002434AF"/>
    <w:rsid w:val="00261290"/>
    <w:rsid w:val="0026446B"/>
    <w:rsid w:val="00265403"/>
    <w:rsid w:val="00275766"/>
    <w:rsid w:val="00280FD1"/>
    <w:rsid w:val="002A08EC"/>
    <w:rsid w:val="002A1D67"/>
    <w:rsid w:val="002A7085"/>
    <w:rsid w:val="002A7443"/>
    <w:rsid w:val="002A7AE3"/>
    <w:rsid w:val="002F6C2B"/>
    <w:rsid w:val="00301F07"/>
    <w:rsid w:val="00310AD6"/>
    <w:rsid w:val="003131F7"/>
    <w:rsid w:val="003142C5"/>
    <w:rsid w:val="00323848"/>
    <w:rsid w:val="003325A4"/>
    <w:rsid w:val="00335D4B"/>
    <w:rsid w:val="00344D46"/>
    <w:rsid w:val="00345078"/>
    <w:rsid w:val="00361D0C"/>
    <w:rsid w:val="00380971"/>
    <w:rsid w:val="003862F4"/>
    <w:rsid w:val="003A69A6"/>
    <w:rsid w:val="003B3037"/>
    <w:rsid w:val="003B50D7"/>
    <w:rsid w:val="003B77AA"/>
    <w:rsid w:val="003C184A"/>
    <w:rsid w:val="003C2361"/>
    <w:rsid w:val="003C3468"/>
    <w:rsid w:val="003C6390"/>
    <w:rsid w:val="003C6A39"/>
    <w:rsid w:val="003D54EF"/>
    <w:rsid w:val="003E3C60"/>
    <w:rsid w:val="00416322"/>
    <w:rsid w:val="004227BD"/>
    <w:rsid w:val="004324C6"/>
    <w:rsid w:val="00452087"/>
    <w:rsid w:val="00456012"/>
    <w:rsid w:val="004576F3"/>
    <w:rsid w:val="0046133A"/>
    <w:rsid w:val="00464268"/>
    <w:rsid w:val="00481165"/>
    <w:rsid w:val="004A0389"/>
    <w:rsid w:val="004A4329"/>
    <w:rsid w:val="004A4C71"/>
    <w:rsid w:val="004B0190"/>
    <w:rsid w:val="004B1CF1"/>
    <w:rsid w:val="004B4B60"/>
    <w:rsid w:val="004B4E73"/>
    <w:rsid w:val="004B5BD9"/>
    <w:rsid w:val="004F0CB5"/>
    <w:rsid w:val="005152F4"/>
    <w:rsid w:val="0052097D"/>
    <w:rsid w:val="00524A3B"/>
    <w:rsid w:val="00567561"/>
    <w:rsid w:val="00573FCD"/>
    <w:rsid w:val="005743A9"/>
    <w:rsid w:val="00575841"/>
    <w:rsid w:val="00595F91"/>
    <w:rsid w:val="005A0CD3"/>
    <w:rsid w:val="005A7CF3"/>
    <w:rsid w:val="005B0669"/>
    <w:rsid w:val="005B0DA7"/>
    <w:rsid w:val="005B546C"/>
    <w:rsid w:val="005C337E"/>
    <w:rsid w:val="005C4EE4"/>
    <w:rsid w:val="005D10C5"/>
    <w:rsid w:val="005E56C2"/>
    <w:rsid w:val="005F11CB"/>
    <w:rsid w:val="005F5E05"/>
    <w:rsid w:val="006146F9"/>
    <w:rsid w:val="00614F9E"/>
    <w:rsid w:val="00615DF6"/>
    <w:rsid w:val="006262FA"/>
    <w:rsid w:val="006267D3"/>
    <w:rsid w:val="006300E9"/>
    <w:rsid w:val="00630487"/>
    <w:rsid w:val="00644F14"/>
    <w:rsid w:val="00651A01"/>
    <w:rsid w:val="00653EF4"/>
    <w:rsid w:val="00656B81"/>
    <w:rsid w:val="00687739"/>
    <w:rsid w:val="00695820"/>
    <w:rsid w:val="00695994"/>
    <w:rsid w:val="006B6426"/>
    <w:rsid w:val="006C38A3"/>
    <w:rsid w:val="006C5459"/>
    <w:rsid w:val="006D24ED"/>
    <w:rsid w:val="006D2A07"/>
    <w:rsid w:val="006D4D63"/>
    <w:rsid w:val="006E123B"/>
    <w:rsid w:val="007040EB"/>
    <w:rsid w:val="00723E48"/>
    <w:rsid w:val="00723E56"/>
    <w:rsid w:val="007464F1"/>
    <w:rsid w:val="00755C67"/>
    <w:rsid w:val="007907C0"/>
    <w:rsid w:val="0079386B"/>
    <w:rsid w:val="007A798F"/>
    <w:rsid w:val="007B2364"/>
    <w:rsid w:val="007B4BB4"/>
    <w:rsid w:val="007C2795"/>
    <w:rsid w:val="007C3316"/>
    <w:rsid w:val="007C3918"/>
    <w:rsid w:val="007C6682"/>
    <w:rsid w:val="007D3C54"/>
    <w:rsid w:val="007E2771"/>
    <w:rsid w:val="008034DE"/>
    <w:rsid w:val="00803BB3"/>
    <w:rsid w:val="00803EE8"/>
    <w:rsid w:val="00805E99"/>
    <w:rsid w:val="00807131"/>
    <w:rsid w:val="00812D10"/>
    <w:rsid w:val="00814E28"/>
    <w:rsid w:val="00844AC8"/>
    <w:rsid w:val="008531A6"/>
    <w:rsid w:val="00881BB1"/>
    <w:rsid w:val="00886EC9"/>
    <w:rsid w:val="00893FCD"/>
    <w:rsid w:val="008D10E4"/>
    <w:rsid w:val="008E5E1F"/>
    <w:rsid w:val="008F0A92"/>
    <w:rsid w:val="008F7189"/>
    <w:rsid w:val="00904E3D"/>
    <w:rsid w:val="0091072F"/>
    <w:rsid w:val="00911CBE"/>
    <w:rsid w:val="009241DF"/>
    <w:rsid w:val="00934DB4"/>
    <w:rsid w:val="0094237C"/>
    <w:rsid w:val="00944250"/>
    <w:rsid w:val="00946A19"/>
    <w:rsid w:val="00956B2A"/>
    <w:rsid w:val="0096293E"/>
    <w:rsid w:val="009656DE"/>
    <w:rsid w:val="00975E89"/>
    <w:rsid w:val="009838D4"/>
    <w:rsid w:val="0098480A"/>
    <w:rsid w:val="00990BC8"/>
    <w:rsid w:val="00993503"/>
    <w:rsid w:val="009A767D"/>
    <w:rsid w:val="009B4560"/>
    <w:rsid w:val="009B6F49"/>
    <w:rsid w:val="009C21E8"/>
    <w:rsid w:val="009C440C"/>
    <w:rsid w:val="009D35EF"/>
    <w:rsid w:val="009E01FB"/>
    <w:rsid w:val="009F4D41"/>
    <w:rsid w:val="00A1409C"/>
    <w:rsid w:val="00A248DD"/>
    <w:rsid w:val="00A47FE1"/>
    <w:rsid w:val="00A61644"/>
    <w:rsid w:val="00A6389A"/>
    <w:rsid w:val="00A67461"/>
    <w:rsid w:val="00AA5AEE"/>
    <w:rsid w:val="00AC58E5"/>
    <w:rsid w:val="00AD1811"/>
    <w:rsid w:val="00B0423F"/>
    <w:rsid w:val="00B06BB9"/>
    <w:rsid w:val="00B10CDB"/>
    <w:rsid w:val="00B129CD"/>
    <w:rsid w:val="00B140D3"/>
    <w:rsid w:val="00B24865"/>
    <w:rsid w:val="00B32955"/>
    <w:rsid w:val="00B50BAC"/>
    <w:rsid w:val="00B52949"/>
    <w:rsid w:val="00B54C40"/>
    <w:rsid w:val="00B60352"/>
    <w:rsid w:val="00B61689"/>
    <w:rsid w:val="00B63439"/>
    <w:rsid w:val="00B91E61"/>
    <w:rsid w:val="00B96D2C"/>
    <w:rsid w:val="00B96F3E"/>
    <w:rsid w:val="00BA774A"/>
    <w:rsid w:val="00BB1EAE"/>
    <w:rsid w:val="00BB600E"/>
    <w:rsid w:val="00BC06F9"/>
    <w:rsid w:val="00BC4A12"/>
    <w:rsid w:val="00BD1692"/>
    <w:rsid w:val="00BE41AA"/>
    <w:rsid w:val="00C42C12"/>
    <w:rsid w:val="00C533AB"/>
    <w:rsid w:val="00C57DB6"/>
    <w:rsid w:val="00C57EB6"/>
    <w:rsid w:val="00C64222"/>
    <w:rsid w:val="00C90243"/>
    <w:rsid w:val="00CA52A7"/>
    <w:rsid w:val="00CA7EB6"/>
    <w:rsid w:val="00CB387E"/>
    <w:rsid w:val="00CB5239"/>
    <w:rsid w:val="00CC1287"/>
    <w:rsid w:val="00CC2615"/>
    <w:rsid w:val="00CD1DE6"/>
    <w:rsid w:val="00CD66A6"/>
    <w:rsid w:val="00CE25BE"/>
    <w:rsid w:val="00CE65D7"/>
    <w:rsid w:val="00CF1F53"/>
    <w:rsid w:val="00CF5142"/>
    <w:rsid w:val="00CF6E07"/>
    <w:rsid w:val="00D22A99"/>
    <w:rsid w:val="00D34BCF"/>
    <w:rsid w:val="00D415D6"/>
    <w:rsid w:val="00D44E73"/>
    <w:rsid w:val="00D47A3C"/>
    <w:rsid w:val="00D7197D"/>
    <w:rsid w:val="00D81050"/>
    <w:rsid w:val="00D837F4"/>
    <w:rsid w:val="00D90C7F"/>
    <w:rsid w:val="00D92F25"/>
    <w:rsid w:val="00DA703B"/>
    <w:rsid w:val="00DB4B6A"/>
    <w:rsid w:val="00DB56E2"/>
    <w:rsid w:val="00DB6354"/>
    <w:rsid w:val="00DB6EEA"/>
    <w:rsid w:val="00DC2D95"/>
    <w:rsid w:val="00DD6561"/>
    <w:rsid w:val="00DE1A2B"/>
    <w:rsid w:val="00DE43D3"/>
    <w:rsid w:val="00DE6E97"/>
    <w:rsid w:val="00DF21A8"/>
    <w:rsid w:val="00DF7D39"/>
    <w:rsid w:val="00E36B88"/>
    <w:rsid w:val="00E36EED"/>
    <w:rsid w:val="00E5464B"/>
    <w:rsid w:val="00E66C4F"/>
    <w:rsid w:val="00E7324E"/>
    <w:rsid w:val="00E7380C"/>
    <w:rsid w:val="00E757C4"/>
    <w:rsid w:val="00E75CE5"/>
    <w:rsid w:val="00E870B6"/>
    <w:rsid w:val="00E94EAC"/>
    <w:rsid w:val="00EA5ED3"/>
    <w:rsid w:val="00EC2741"/>
    <w:rsid w:val="00EC7C5D"/>
    <w:rsid w:val="00EC7F4F"/>
    <w:rsid w:val="00ED0BB4"/>
    <w:rsid w:val="00EE206F"/>
    <w:rsid w:val="00EE38CA"/>
    <w:rsid w:val="00EF4A6A"/>
    <w:rsid w:val="00F00563"/>
    <w:rsid w:val="00F06309"/>
    <w:rsid w:val="00F24642"/>
    <w:rsid w:val="00F24AB9"/>
    <w:rsid w:val="00F30C8E"/>
    <w:rsid w:val="00F34F6E"/>
    <w:rsid w:val="00F36895"/>
    <w:rsid w:val="00F47618"/>
    <w:rsid w:val="00F479AC"/>
    <w:rsid w:val="00F812E6"/>
    <w:rsid w:val="00F83A97"/>
    <w:rsid w:val="00F8532D"/>
    <w:rsid w:val="00F90CCF"/>
    <w:rsid w:val="00F9254C"/>
    <w:rsid w:val="00FB5F13"/>
    <w:rsid w:val="00FC2C98"/>
    <w:rsid w:val="00FD379C"/>
    <w:rsid w:val="00FE2B56"/>
    <w:rsid w:val="00FE7F01"/>
    <w:rsid w:val="00FF4D2C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7E8F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99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99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99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99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38924-13</Nr_x002e__x0020_akti>
    <Data_x0020_e_x0020_Krijimit xmlns="0e656187-b300-4fb0-8bf4-3a50f872073c">2022-10-31T13:49:20Z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2022-10-30T23:00:00Z</Date_x0020_protokolli>
    <Titulli xmlns="0e656187-b300-4fb0-8bf4-3a50f872073c">Çështja Buci kundër Shqipërisë"</Titulli>
    <Modifikuesi xmlns="0e656187-b300-4fb0-8bf4-3a50f872073c">alma.lisaku</Modifikuesi>
    <Nr_x002e__x0020_prot_x0020_QBZ xmlns="0e656187-b300-4fb0-8bf4-3a50f872073c">1607/1</Nr_x002e__x0020_prot_x0020_QBZ>
    <Data_x0020_e_x0020_Modifikimit xmlns="0e656187-b300-4fb0-8bf4-3a50f872073c">2022-11-01T10:09:42Z</Data_x0020_e_x0020_Modifikimit>
    <Dekretuar xmlns="0e656187-b300-4fb0-8bf4-3a50f872073c">false</Dekretuar>
    <Data xmlns="0e656187-b300-4fb0-8bf4-3a50f872073c">2022-07-27T22:00:00Z</Data>
    <Nr_x002e__x0020_protokolli_x0020_i_x0020_aktit xmlns="0e656187-b300-4fb0-8bf4-3a50f872073c">5519/1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D8981D5DECF84B01AC1020D11F10DFD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D8981D5DECF84B01AC1020D11F10DFD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EB1B-896B-40FA-B204-0841FED4046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656187-b300-4fb0-8bf4-3a50f87207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B56D41-9461-4755-B1D7-BF64BE99D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09133-C638-419B-A81B-8C6DC4637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C6B69E2-FED5-4C3F-9955-C80D35CD69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00581C-20D4-44F7-B5BC-6672D4A5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B7F7324F-EFED-4595-94EC-434E68C8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Buci kundër Shqipërisë"</vt:lpstr>
    </vt:vector>
  </TitlesOfParts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Buci kundër Shqipërisë"</dc:title>
  <dc:subject>DC</dc:subject>
  <dc:creator/>
  <cp:lastModifiedBy/>
  <cp:revision>1</cp:revision>
  <dcterms:created xsi:type="dcterms:W3CDTF">2024-03-11T10:25:00Z</dcterms:created>
  <dcterms:modified xsi:type="dcterms:W3CDTF">2024-03-11T10:25:00Z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QuickStyle">
    <vt:lpwstr>Jud_Styles_Eng_2019</vt:lpwstr>
  </property>
  <property fmtid="{D5CDD505-2E9C-101B-9397-08002B2CF9AE}" pid="4" name="RegisteredNo">
    <vt:lpwstr>13618/10</vt:lpwstr>
  </property>
  <property fmtid="{D5CDD505-2E9C-101B-9397-08002B2CF9AE}" pid="5" name="CASEID">
    <vt:lpwstr>627623</vt:lpwstr>
  </property>
  <property fmtid="{D5CDD505-2E9C-101B-9397-08002B2CF9AE}" pid="6" name="OrigTemp">
    <vt:lpwstr>English\Automation\Conversion Macros\NEW STYLES Decision.dotx</vt:lpwstr>
  </property>
  <property fmtid="{D5CDD505-2E9C-101B-9397-08002B2CF9AE}" pid="7" name="LaunchFolder">
    <vt:lpwstr>M:\Development of templates\</vt:lpwstr>
  </property>
  <property fmtid="{D5CDD505-2E9C-101B-9397-08002B2CF9AE}" pid="8" name="ContentTypeId">
    <vt:lpwstr>0x010100558EB02BDB9E204AB350EDD385B68E10</vt:lpwstr>
  </property>
</Properties>
</file>