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7DA4" w14:textId="77777777" w:rsidR="00A43DB1" w:rsidRPr="00BE1029" w:rsidRDefault="00A43DB1" w:rsidP="00A43DB1">
      <w:pPr>
        <w:spacing w:after="0" w:line="240" w:lineRule="auto"/>
        <w:ind w:firstLine="284"/>
        <w:jc w:val="center"/>
        <w:rPr>
          <w:rFonts w:ascii="Garamond" w:hAnsi="Garamond"/>
          <w:sz w:val="24"/>
          <w:szCs w:val="24"/>
          <w:lang w:val="sq-AL"/>
        </w:rPr>
      </w:pPr>
      <w:bookmarkStart w:id="0" w:name="_GoBack"/>
      <w:bookmarkEnd w:id="0"/>
      <w:r w:rsidRPr="00BE1029">
        <w:rPr>
          <w:rFonts w:ascii="Garamond" w:hAnsi="Garamond"/>
          <w:sz w:val="24"/>
          <w:szCs w:val="24"/>
          <w:lang w:val="sq-AL"/>
        </w:rPr>
        <w:t>SEKSIONI I TRETË</w:t>
      </w:r>
    </w:p>
    <w:p w14:paraId="5F9BBFB6" w14:textId="77777777"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ÇËSHTJA BESNIK CANI KUNDËR SHQIPËRISË</w:t>
      </w:r>
    </w:p>
    <w:p w14:paraId="75169FBA" w14:textId="77777777" w:rsidR="00A43DB1" w:rsidRPr="00BE1029" w:rsidRDefault="00A43DB1" w:rsidP="00A43DB1">
      <w:pPr>
        <w:spacing w:after="0" w:line="240" w:lineRule="auto"/>
        <w:ind w:firstLine="284"/>
        <w:jc w:val="center"/>
        <w:rPr>
          <w:rFonts w:ascii="Garamond" w:hAnsi="Garamond"/>
          <w:i/>
          <w:sz w:val="24"/>
          <w:szCs w:val="24"/>
          <w:lang w:val="sq-AL"/>
        </w:rPr>
      </w:pPr>
      <w:r w:rsidRPr="00BE1029">
        <w:rPr>
          <w:rFonts w:ascii="Garamond" w:hAnsi="Garamond"/>
          <w:i/>
          <w:sz w:val="24"/>
          <w:szCs w:val="24"/>
          <w:lang w:val="sq-AL"/>
        </w:rPr>
        <w:t>(Kërkesa nr. 37474/20)</w:t>
      </w:r>
    </w:p>
    <w:p w14:paraId="171BB4B0" w14:textId="77777777" w:rsidR="00BD7DCB" w:rsidRPr="00BE1029" w:rsidRDefault="00BD7DCB" w:rsidP="00A43DB1">
      <w:pPr>
        <w:spacing w:after="0" w:line="240" w:lineRule="auto"/>
        <w:ind w:firstLine="284"/>
        <w:jc w:val="center"/>
        <w:rPr>
          <w:rFonts w:ascii="Garamond" w:hAnsi="Garamond"/>
          <w:b/>
          <w:sz w:val="24"/>
          <w:szCs w:val="24"/>
          <w:lang w:val="sq-AL"/>
        </w:rPr>
      </w:pPr>
    </w:p>
    <w:p w14:paraId="7FFA9103" w14:textId="77777777" w:rsidR="00A43DB1" w:rsidRPr="00BE1029" w:rsidRDefault="00A43DB1" w:rsidP="00A43DB1">
      <w:pPr>
        <w:spacing w:after="0" w:line="240" w:lineRule="auto"/>
        <w:ind w:firstLine="284"/>
        <w:jc w:val="center"/>
        <w:rPr>
          <w:rFonts w:ascii="Garamond" w:hAnsi="Garamond"/>
          <w:b/>
          <w:sz w:val="24"/>
          <w:szCs w:val="24"/>
          <w:lang w:val="sq-AL"/>
        </w:rPr>
      </w:pPr>
      <w:r w:rsidRPr="00BE1029">
        <w:rPr>
          <w:rFonts w:ascii="Garamond" w:hAnsi="Garamond"/>
          <w:b/>
          <w:sz w:val="24"/>
          <w:szCs w:val="24"/>
          <w:lang w:val="sq-AL"/>
        </w:rPr>
        <w:t>VENDIM</w:t>
      </w:r>
    </w:p>
    <w:p w14:paraId="22534EA6" w14:textId="77777777" w:rsidR="00A43DB1" w:rsidRPr="00BE1029" w:rsidRDefault="00A43DB1" w:rsidP="00A43DB1">
      <w:pPr>
        <w:spacing w:after="0" w:line="240" w:lineRule="auto"/>
        <w:ind w:firstLine="284"/>
        <w:jc w:val="center"/>
        <w:rPr>
          <w:rFonts w:ascii="Garamond" w:hAnsi="Garamond"/>
          <w:sz w:val="24"/>
          <w:szCs w:val="24"/>
          <w:lang w:val="sq-AL"/>
        </w:rPr>
      </w:pPr>
    </w:p>
    <w:p w14:paraId="4A9A1667" w14:textId="7CEB6237" w:rsidR="00A43DB1" w:rsidRPr="00BE1029" w:rsidRDefault="00A43DB1" w:rsidP="00A43DB1">
      <w:pPr>
        <w:spacing w:after="0" w:line="240" w:lineRule="auto"/>
        <w:ind w:firstLine="284"/>
        <w:jc w:val="both"/>
        <w:rPr>
          <w:rFonts w:ascii="Garamond" w:hAnsi="Garamond"/>
          <w:sz w:val="24"/>
          <w:szCs w:val="24"/>
          <w:lang w:val="sq-AL"/>
        </w:rPr>
      </w:pPr>
      <w:r w:rsidRPr="00BE1029">
        <w:rPr>
          <w:rFonts w:ascii="Garamond" w:hAnsi="Garamond"/>
          <w:sz w:val="24"/>
          <w:szCs w:val="24"/>
          <w:lang w:val="sq-AL"/>
        </w:rPr>
        <w:t>Neni 6 § 1 (</w:t>
      </w:r>
      <w:r w:rsidR="00F45B78" w:rsidRPr="00BE1029">
        <w:rPr>
          <w:rFonts w:ascii="Garamond" w:hAnsi="Garamond"/>
          <w:sz w:val="24"/>
          <w:szCs w:val="24"/>
          <w:lang w:val="sq-AL"/>
        </w:rPr>
        <w:t>civil</w:t>
      </w:r>
      <w:r w:rsidRPr="00BE1029">
        <w:rPr>
          <w:rFonts w:ascii="Garamond" w:hAnsi="Garamond"/>
          <w:sz w:val="24"/>
          <w:szCs w:val="24"/>
          <w:lang w:val="sq-AL"/>
        </w:rPr>
        <w:t xml:space="preserve">) – Gjykatë e krijuar me ligj – Pretendim i argumentueshëm për shkelje të qartë të rregullit themelor </w:t>
      </w:r>
      <w:r w:rsidR="008A55FD" w:rsidRPr="00BE1029">
        <w:rPr>
          <w:rFonts w:ascii="Garamond" w:hAnsi="Garamond"/>
          <w:sz w:val="24"/>
          <w:szCs w:val="24"/>
          <w:lang w:val="sq-AL"/>
        </w:rPr>
        <w:t>vendës,</w:t>
      </w:r>
      <w:r w:rsidRPr="00BE1029">
        <w:rPr>
          <w:rFonts w:ascii="Garamond" w:hAnsi="Garamond"/>
          <w:sz w:val="24"/>
          <w:szCs w:val="24"/>
          <w:lang w:val="sq-AL"/>
        </w:rPr>
        <w:t xml:space="preserve"> duke ndikuar në mënyrë të pafavorshme në caktimin e një gjyqtari në Kolegjin e Posaçëm të Apelimit (KPA) i mbledhur si panel</w:t>
      </w:r>
      <w:r w:rsidR="008A55FD" w:rsidRPr="00BE1029">
        <w:rPr>
          <w:rFonts w:ascii="Garamond" w:hAnsi="Garamond"/>
          <w:sz w:val="24"/>
          <w:szCs w:val="24"/>
          <w:lang w:val="sq-AL"/>
        </w:rPr>
        <w:t>,</w:t>
      </w:r>
      <w:r w:rsidRPr="00BE1029">
        <w:rPr>
          <w:rFonts w:ascii="Garamond" w:hAnsi="Garamond"/>
          <w:sz w:val="24"/>
          <w:szCs w:val="24"/>
          <w:lang w:val="sq-AL"/>
        </w:rPr>
        <w:t xml:space="preserve"> i cili rivlerësoi dhe shkarkoi nga detyra një prokuror – Kërkesa për një kontroll me tre hapa në çështjen </w:t>
      </w:r>
      <w:r w:rsidRPr="00BE1029">
        <w:rPr>
          <w:rFonts w:ascii="Garamond" w:hAnsi="Garamond"/>
          <w:i/>
          <w:sz w:val="24"/>
          <w:szCs w:val="24"/>
          <w:lang w:val="sq-AL"/>
        </w:rPr>
        <w:t>Guðmundur Andri Ástráðsson kundër Islandës</w:t>
      </w:r>
      <w:r w:rsidRPr="00BE1029">
        <w:rPr>
          <w:rFonts w:ascii="Garamond" w:hAnsi="Garamond"/>
          <w:sz w:val="24"/>
          <w:szCs w:val="24"/>
          <w:lang w:val="sq-AL"/>
        </w:rPr>
        <w:t xml:space="preserve"> [DHM] – Asnjë deklaratë e qartë dhe autoritare nga gjykatat </w:t>
      </w:r>
      <w:r w:rsidR="008A55FD" w:rsidRPr="00BE1029">
        <w:rPr>
          <w:rFonts w:ascii="Garamond" w:hAnsi="Garamond"/>
          <w:sz w:val="24"/>
          <w:szCs w:val="24"/>
          <w:lang w:val="sq-AL"/>
        </w:rPr>
        <w:t>vendës</w:t>
      </w:r>
      <w:r w:rsidRPr="00BE1029">
        <w:rPr>
          <w:rFonts w:ascii="Garamond" w:hAnsi="Garamond"/>
          <w:sz w:val="24"/>
          <w:szCs w:val="24"/>
          <w:lang w:val="sq-AL"/>
        </w:rPr>
        <w:t>e</w:t>
      </w:r>
      <w:r w:rsidR="008A55FD" w:rsidRPr="00BE1029">
        <w:rPr>
          <w:rFonts w:ascii="Garamond" w:hAnsi="Garamond"/>
          <w:sz w:val="24"/>
          <w:szCs w:val="24"/>
          <w:lang w:val="sq-AL"/>
        </w:rPr>
        <w:t>,</w:t>
      </w:r>
      <w:r w:rsidRPr="00BE1029">
        <w:rPr>
          <w:rFonts w:ascii="Garamond" w:hAnsi="Garamond"/>
          <w:sz w:val="24"/>
          <w:szCs w:val="24"/>
          <w:lang w:val="sq-AL"/>
        </w:rPr>
        <w:t xml:space="preserve"> në lidhje me shkeljen e qartë të ligjit </w:t>
      </w:r>
      <w:r w:rsidR="008A55FD" w:rsidRPr="00BE1029">
        <w:rPr>
          <w:rFonts w:ascii="Garamond" w:hAnsi="Garamond"/>
          <w:sz w:val="24"/>
          <w:szCs w:val="24"/>
          <w:lang w:val="sq-AL"/>
        </w:rPr>
        <w:t>vendës</w:t>
      </w:r>
      <w:r w:rsidRPr="00BE1029">
        <w:rPr>
          <w:rFonts w:ascii="Garamond" w:hAnsi="Garamond"/>
          <w:sz w:val="24"/>
          <w:szCs w:val="24"/>
          <w:lang w:val="sq-AL"/>
        </w:rPr>
        <w:t xml:space="preserve"> – Autoritetet nën detyrimin për verifikimin e respektimit të kritereve statutore të përzgjedhshmërisë nga gjyqtarët e KPA</w:t>
      </w:r>
      <w:r w:rsidR="008A55FD" w:rsidRPr="00BE1029">
        <w:rPr>
          <w:rFonts w:ascii="Garamond" w:hAnsi="Garamond"/>
          <w:sz w:val="24"/>
          <w:szCs w:val="24"/>
          <w:lang w:val="sq-AL"/>
        </w:rPr>
        <w:t>-së</w:t>
      </w:r>
      <w:r w:rsidRPr="00BE1029">
        <w:rPr>
          <w:rFonts w:ascii="Garamond" w:hAnsi="Garamond"/>
          <w:sz w:val="24"/>
          <w:szCs w:val="24"/>
          <w:lang w:val="sq-AL"/>
        </w:rPr>
        <w:t xml:space="preserve"> – Asnjë shqyrtim dhe zgjidhje efikase nga gjykata </w:t>
      </w:r>
      <w:r w:rsidR="008A55FD" w:rsidRPr="00BE1029">
        <w:rPr>
          <w:rFonts w:ascii="Garamond" w:hAnsi="Garamond"/>
          <w:sz w:val="24"/>
          <w:szCs w:val="24"/>
          <w:lang w:val="sq-AL"/>
        </w:rPr>
        <w:t>vendës</w:t>
      </w:r>
      <w:r w:rsidRPr="00BE1029">
        <w:rPr>
          <w:rFonts w:ascii="Garamond" w:hAnsi="Garamond"/>
          <w:sz w:val="24"/>
          <w:szCs w:val="24"/>
          <w:lang w:val="sq-AL"/>
        </w:rPr>
        <w:t>e</w:t>
      </w:r>
    </w:p>
    <w:p w14:paraId="145A4011" w14:textId="478E4776" w:rsidR="00A43DB1" w:rsidRPr="00BE1029" w:rsidRDefault="00A43DB1" w:rsidP="00A43DB1">
      <w:pPr>
        <w:spacing w:after="0" w:line="240" w:lineRule="auto"/>
        <w:ind w:firstLine="284"/>
        <w:jc w:val="both"/>
        <w:rPr>
          <w:rFonts w:ascii="Garamond" w:hAnsi="Garamond"/>
          <w:sz w:val="24"/>
          <w:szCs w:val="24"/>
          <w:lang w:val="sq-AL"/>
        </w:rPr>
      </w:pPr>
      <w:r w:rsidRPr="00BE1029">
        <w:rPr>
          <w:rFonts w:ascii="Garamond" w:hAnsi="Garamond"/>
          <w:sz w:val="24"/>
          <w:szCs w:val="24"/>
          <w:lang w:val="sq-AL"/>
        </w:rPr>
        <w:t>Neni 46 – Masa individuale – Riçelja e procesit të rivle</w:t>
      </w:r>
      <w:r w:rsidR="008A55FD" w:rsidRPr="00BE1029">
        <w:rPr>
          <w:rFonts w:ascii="Garamond" w:hAnsi="Garamond"/>
          <w:sz w:val="24"/>
          <w:szCs w:val="24"/>
          <w:lang w:val="sq-AL"/>
        </w:rPr>
        <w:t>rësimit, me kërkesë të ankuesit</w:t>
      </w:r>
      <w:r w:rsidRPr="00BE1029">
        <w:rPr>
          <w:rFonts w:ascii="Garamond" w:hAnsi="Garamond"/>
          <w:sz w:val="24"/>
          <w:szCs w:val="24"/>
          <w:lang w:val="sq-AL"/>
        </w:rPr>
        <w:t xml:space="preserve"> dhe rishqyrtimi i çështjes në mbështetje të kërkesave të </w:t>
      </w:r>
      <w:r w:rsidR="008A55FD" w:rsidRPr="00BE1029">
        <w:rPr>
          <w:rFonts w:ascii="Garamond" w:hAnsi="Garamond"/>
          <w:sz w:val="24"/>
          <w:szCs w:val="24"/>
          <w:lang w:val="sq-AL"/>
        </w:rPr>
        <w:t xml:space="preserve">nenit </w:t>
      </w:r>
      <w:r w:rsidRPr="00BE1029">
        <w:rPr>
          <w:rFonts w:ascii="Garamond" w:hAnsi="Garamond"/>
          <w:sz w:val="24"/>
          <w:szCs w:val="24"/>
          <w:lang w:val="sq-AL"/>
        </w:rPr>
        <w:t>6 § 1</w:t>
      </w:r>
    </w:p>
    <w:p w14:paraId="65588D10" w14:textId="77777777" w:rsidR="00A43DB1" w:rsidRPr="00BE1029" w:rsidRDefault="00A43DB1" w:rsidP="00A43DB1">
      <w:pPr>
        <w:spacing w:after="0" w:line="240" w:lineRule="auto"/>
        <w:ind w:firstLine="284"/>
        <w:jc w:val="both"/>
        <w:rPr>
          <w:rFonts w:ascii="Garamond" w:hAnsi="Garamond"/>
          <w:sz w:val="24"/>
          <w:szCs w:val="24"/>
          <w:lang w:val="sq-AL"/>
        </w:rPr>
      </w:pPr>
    </w:p>
    <w:p w14:paraId="11288432" w14:textId="77777777"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STRASBURG</w:t>
      </w:r>
    </w:p>
    <w:p w14:paraId="5A641C6C" w14:textId="4DF2CD33"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 xml:space="preserve">4 </w:t>
      </w:r>
      <w:r w:rsidR="009A013C" w:rsidRPr="00BE1029">
        <w:rPr>
          <w:rFonts w:ascii="Garamond" w:hAnsi="Garamond"/>
          <w:sz w:val="24"/>
          <w:szCs w:val="24"/>
          <w:lang w:val="sq-AL"/>
        </w:rPr>
        <w:t xml:space="preserve">tetor </w:t>
      </w:r>
      <w:r w:rsidRPr="00BE1029">
        <w:rPr>
          <w:rFonts w:ascii="Garamond" w:hAnsi="Garamond"/>
          <w:sz w:val="24"/>
          <w:szCs w:val="24"/>
          <w:lang w:val="sq-AL"/>
        </w:rPr>
        <w:t>2022</w:t>
      </w:r>
    </w:p>
    <w:p w14:paraId="2959B8C8" w14:textId="77777777" w:rsidR="00A43DB1" w:rsidRPr="00BE1029" w:rsidRDefault="00A43DB1" w:rsidP="00A43DB1">
      <w:pPr>
        <w:spacing w:after="0" w:line="240" w:lineRule="auto"/>
        <w:ind w:firstLine="284"/>
        <w:jc w:val="both"/>
        <w:rPr>
          <w:rFonts w:ascii="Garamond" w:hAnsi="Garamond"/>
          <w:i/>
          <w:sz w:val="24"/>
          <w:szCs w:val="24"/>
          <w:lang w:val="sq-AL"/>
        </w:rPr>
      </w:pPr>
    </w:p>
    <w:p w14:paraId="6DA00BCC" w14:textId="1D781AAD" w:rsidR="005F5040" w:rsidRPr="00BE1029" w:rsidRDefault="00A43DB1" w:rsidP="00A43DB1">
      <w:pPr>
        <w:spacing w:after="0" w:line="240" w:lineRule="auto"/>
        <w:ind w:firstLine="284"/>
        <w:jc w:val="both"/>
        <w:rPr>
          <w:rFonts w:ascii="Garamond" w:hAnsi="Garamond"/>
          <w:i/>
          <w:sz w:val="24"/>
          <w:szCs w:val="24"/>
          <w:lang w:val="sq-AL"/>
        </w:rPr>
      </w:pPr>
      <w:r w:rsidRPr="00BE1029">
        <w:rPr>
          <w:rFonts w:ascii="Garamond" w:hAnsi="Garamond"/>
          <w:i/>
          <w:sz w:val="24"/>
          <w:szCs w:val="24"/>
          <w:lang w:val="sq-AL"/>
        </w:rPr>
        <w:t>Ky vendim do të bëhet i formës së prerë</w:t>
      </w:r>
      <w:r w:rsidR="00995C38" w:rsidRPr="00BE1029">
        <w:rPr>
          <w:rFonts w:ascii="Garamond" w:hAnsi="Garamond"/>
          <w:i/>
          <w:sz w:val="24"/>
          <w:szCs w:val="24"/>
          <w:lang w:val="sq-AL"/>
        </w:rPr>
        <w:t>,</w:t>
      </w:r>
      <w:r w:rsidRPr="00BE1029">
        <w:rPr>
          <w:rFonts w:ascii="Garamond" w:hAnsi="Garamond"/>
          <w:i/>
          <w:sz w:val="24"/>
          <w:szCs w:val="24"/>
          <w:lang w:val="sq-AL"/>
        </w:rPr>
        <w:t xml:space="preserve"> sipas rrethanave të parashikuara në </w:t>
      </w:r>
      <w:r w:rsidR="009A013C" w:rsidRPr="00BE1029">
        <w:rPr>
          <w:rFonts w:ascii="Garamond" w:hAnsi="Garamond"/>
          <w:i/>
          <w:sz w:val="24"/>
          <w:szCs w:val="24"/>
          <w:lang w:val="sq-AL"/>
        </w:rPr>
        <w:t xml:space="preserve">nenin </w:t>
      </w:r>
      <w:r w:rsidRPr="00BE1029">
        <w:rPr>
          <w:rFonts w:ascii="Garamond" w:hAnsi="Garamond"/>
          <w:i/>
          <w:sz w:val="24"/>
          <w:szCs w:val="24"/>
          <w:lang w:val="sq-AL"/>
        </w:rPr>
        <w:t>44 §§ 2 të Konventës. Ai mund të bëhet objekt i një rishikimi</w:t>
      </w:r>
      <w:r w:rsidR="00F42506">
        <w:rPr>
          <w:rFonts w:ascii="Garamond" w:hAnsi="Garamond"/>
          <w:i/>
          <w:sz w:val="24"/>
          <w:szCs w:val="24"/>
          <w:lang w:val="sq-AL"/>
        </w:rPr>
        <w:t xml:space="preserve"> redaktues.</w:t>
      </w:r>
    </w:p>
    <w:p w14:paraId="7126F27E" w14:textId="77777777" w:rsidR="00A43DB1" w:rsidRPr="00BE1029" w:rsidRDefault="00A43DB1" w:rsidP="00A43DB1">
      <w:pPr>
        <w:spacing w:after="0" w:line="240" w:lineRule="auto"/>
        <w:ind w:firstLine="284"/>
        <w:jc w:val="both"/>
        <w:rPr>
          <w:rFonts w:ascii="Garamond" w:hAnsi="Garamond"/>
          <w:i/>
          <w:sz w:val="24"/>
          <w:szCs w:val="24"/>
          <w:lang w:val="sq-AL"/>
        </w:rPr>
      </w:pPr>
    </w:p>
    <w:p w14:paraId="21FE9DD6"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Në çështjen Besnik Cani kundër Shqipërisë,</w:t>
      </w:r>
    </w:p>
    <w:p w14:paraId="3FF9E572" w14:textId="0CFD006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Gjykata Evropiane e të Drejtave të Njeriut (</w:t>
      </w:r>
      <w:r w:rsidR="009A013C" w:rsidRPr="00BE1029">
        <w:rPr>
          <w:rFonts w:ascii="Garamond" w:hAnsi="Garamond" w:cs="Times New Roman"/>
          <w:color w:val="000000"/>
          <w:sz w:val="24"/>
          <w:szCs w:val="24"/>
          <w:lang w:val="sq-AL"/>
        </w:rPr>
        <w:t>Seksioni i Tretë</w:t>
      </w:r>
      <w:r w:rsidRPr="00BE1029">
        <w:rPr>
          <w:rFonts w:ascii="Garamond" w:hAnsi="Garamond" w:cs="Times New Roman"/>
          <w:color w:val="000000"/>
          <w:sz w:val="24"/>
          <w:szCs w:val="24"/>
          <w:lang w:val="sq-AL"/>
        </w:rPr>
        <w:t xml:space="preserve">), e mbledhur si një Dhomë e përbërë nga: </w:t>
      </w:r>
    </w:p>
    <w:p w14:paraId="70E423EC" w14:textId="6A80275C"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 Georges Ravarani,</w:t>
      </w:r>
      <w:r w:rsidRPr="00BE1029">
        <w:rPr>
          <w:rFonts w:ascii="Garamond" w:hAnsi="Garamond" w:cs="Times New Roman"/>
          <w:i/>
          <w:iCs/>
          <w:color w:val="000000"/>
          <w:sz w:val="24"/>
          <w:szCs w:val="24"/>
          <w:lang w:val="sq-AL"/>
        </w:rPr>
        <w:t xml:space="preserve"> </w:t>
      </w:r>
      <w:r w:rsidR="009A013C" w:rsidRPr="00BE1029">
        <w:rPr>
          <w:rFonts w:ascii="Garamond" w:hAnsi="Garamond" w:cs="Times New Roman"/>
          <w:i/>
          <w:iCs/>
          <w:color w:val="000000"/>
          <w:sz w:val="24"/>
          <w:szCs w:val="24"/>
          <w:lang w:val="sq-AL"/>
        </w:rPr>
        <w:t>kryetar</w:t>
      </w:r>
      <w:r w:rsidRPr="00BE1029">
        <w:rPr>
          <w:rFonts w:ascii="Garamond" w:hAnsi="Garamond" w:cs="Times New Roman"/>
          <w:i/>
          <w:iCs/>
          <w:color w:val="000000"/>
          <w:sz w:val="24"/>
          <w:szCs w:val="24"/>
          <w:lang w:val="sq-AL"/>
        </w:rPr>
        <w:t>,</w:t>
      </w:r>
    </w:p>
    <w:p w14:paraId="7B4308F2" w14:textId="48ADF183"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Georgios A. Serghides,</w:t>
      </w:r>
    </w:p>
    <w:p w14:paraId="55BB21A0" w14:textId="154057E4"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María Elósegui,</w:t>
      </w:r>
    </w:p>
    <w:p w14:paraId="0705DEC1" w14:textId="0A706463"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Darian Pavli,</w:t>
      </w:r>
    </w:p>
    <w:p w14:paraId="073F4D9C" w14:textId="5583A752"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Peeter Roosma,</w:t>
      </w:r>
    </w:p>
    <w:p w14:paraId="229115B1" w14:textId="20832CBF"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Andreas Zünd,</w:t>
      </w:r>
    </w:p>
    <w:p w14:paraId="32F9EDBC" w14:textId="4F1277BB"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Frédéric Krenc, </w:t>
      </w:r>
      <w:r w:rsidRPr="00BE1029">
        <w:rPr>
          <w:rFonts w:ascii="Garamond" w:hAnsi="Garamond" w:cs="Times New Roman"/>
          <w:i/>
          <w:iCs/>
          <w:color w:val="000000"/>
          <w:sz w:val="24"/>
          <w:szCs w:val="24"/>
          <w:lang w:val="sq-AL"/>
        </w:rPr>
        <w:t xml:space="preserve">gjyqtarë </w:t>
      </w:r>
    </w:p>
    <w:p w14:paraId="3922153F" w14:textId="77777777"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dhe Milan Blaško, </w:t>
      </w:r>
      <w:r w:rsidRPr="00BE1029">
        <w:rPr>
          <w:rFonts w:ascii="Garamond" w:hAnsi="Garamond" w:cs="Times New Roman"/>
          <w:i/>
          <w:iCs/>
          <w:color w:val="000000"/>
          <w:sz w:val="24"/>
          <w:szCs w:val="24"/>
          <w:lang w:val="sq-AL"/>
        </w:rPr>
        <w:t>Sekretar i Seksionit,</w:t>
      </w:r>
    </w:p>
    <w:p w14:paraId="6B95E475" w14:textId="47730FAC"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r w:rsidR="005709E2" w:rsidRPr="00BE1029">
        <w:rPr>
          <w:rFonts w:ascii="Garamond" w:hAnsi="Garamond" w:cs="Times New Roman"/>
          <w:color w:val="000000"/>
          <w:sz w:val="24"/>
          <w:szCs w:val="24"/>
          <w:lang w:val="sq-AL"/>
        </w:rPr>
        <w:t xml:space="preserve">duke </w:t>
      </w:r>
      <w:r w:rsidRPr="00BE1029">
        <w:rPr>
          <w:rFonts w:ascii="Garamond" w:hAnsi="Garamond" w:cs="Times New Roman"/>
          <w:color w:val="000000"/>
          <w:sz w:val="24"/>
          <w:szCs w:val="24"/>
          <w:lang w:val="sq-AL"/>
        </w:rPr>
        <w:t xml:space="preserve">mbajtur në konsideratë: </w:t>
      </w:r>
    </w:p>
    <w:p w14:paraId="706A3CC9" w14:textId="58FE4124"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kërkesën (nr. 37474/20) kundër Republikës së Shqipërisë paraqitur pranë Gjykatës, në mbështetje të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34 të Konventës për Mbrojtjen e të Drejtave të Njeriut dhe Lirive Themelore (“Konventa”) nga një shtetas shqiptar, </w:t>
      </w:r>
      <w:r w:rsidR="00AB7291" w:rsidRPr="00BE1029">
        <w:rPr>
          <w:rFonts w:ascii="Garamond" w:hAnsi="Garamond" w:cs="Times New Roman"/>
          <w:color w:val="000000"/>
          <w:sz w:val="24"/>
          <w:szCs w:val="24"/>
          <w:lang w:val="sq-AL"/>
        </w:rPr>
        <w:t>z</w:t>
      </w:r>
      <w:r w:rsidRPr="00BE1029">
        <w:rPr>
          <w:rFonts w:ascii="Garamond" w:hAnsi="Garamond" w:cs="Times New Roman"/>
          <w:color w:val="000000"/>
          <w:sz w:val="24"/>
          <w:szCs w:val="24"/>
          <w:lang w:val="sq-AL"/>
        </w:rPr>
        <w:t xml:space="preserve">. Besnik Cani (“ankuesi”), më 25 </w:t>
      </w:r>
      <w:r w:rsidR="00AB7291" w:rsidRPr="00BE1029">
        <w:rPr>
          <w:rFonts w:ascii="Garamond" w:hAnsi="Garamond" w:cs="Times New Roman"/>
          <w:color w:val="000000"/>
          <w:sz w:val="24"/>
          <w:szCs w:val="24"/>
          <w:lang w:val="sq-AL"/>
        </w:rPr>
        <w:t xml:space="preserve">gusht </w:t>
      </w:r>
      <w:r w:rsidRPr="00BE1029">
        <w:rPr>
          <w:rFonts w:ascii="Garamond" w:hAnsi="Garamond" w:cs="Times New Roman"/>
          <w:color w:val="000000"/>
          <w:sz w:val="24"/>
          <w:szCs w:val="24"/>
          <w:lang w:val="sq-AL"/>
        </w:rPr>
        <w:t>2020;</w:t>
      </w:r>
    </w:p>
    <w:p w14:paraId="36AAD498" w14:textId="038B35BA"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vendimin për të vënë në dijeni Qeverinë </w:t>
      </w:r>
      <w:r w:rsidR="005709E2" w:rsidRPr="00BE1029">
        <w:rPr>
          <w:rFonts w:ascii="Garamond" w:hAnsi="Garamond" w:cs="Times New Roman"/>
          <w:color w:val="000000"/>
          <w:sz w:val="24"/>
          <w:szCs w:val="24"/>
          <w:lang w:val="sq-AL"/>
        </w:rPr>
        <w:t xml:space="preserve">Shqiptare </w:t>
      </w:r>
      <w:r w:rsidRPr="00BE1029">
        <w:rPr>
          <w:rFonts w:ascii="Garamond" w:hAnsi="Garamond" w:cs="Times New Roman"/>
          <w:color w:val="000000"/>
          <w:sz w:val="24"/>
          <w:szCs w:val="24"/>
          <w:lang w:val="sq-AL"/>
        </w:rPr>
        <w:t xml:space="preserve">(“Qeveria”) për një pjesë të ankesave bërë në mbështetje të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dhe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të Konventës, dhe për ta shpallur të papranueshme pjesën e mbetur të kërkesës; </w:t>
      </w:r>
    </w:p>
    <w:p w14:paraId="52AAA282" w14:textId="4933632E"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vërejtjet e paraqitura nga Qeveria përgjegjëse dhe vërejtjet e paraqitura si përgjigje ndaj të parave nga ankuesi; </w:t>
      </w:r>
    </w:p>
    <w:p w14:paraId="77294684" w14:textId="621AD0CF" w:rsidR="00A43DB1" w:rsidRPr="00BE1029" w:rsidRDefault="005709E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pasi </w:t>
      </w:r>
      <w:r w:rsidR="00A43DB1" w:rsidRPr="00BE1029">
        <w:rPr>
          <w:rFonts w:ascii="Garamond" w:hAnsi="Garamond" w:cs="Times New Roman"/>
          <w:color w:val="000000"/>
          <w:sz w:val="24"/>
          <w:szCs w:val="24"/>
          <w:lang w:val="sq-AL"/>
        </w:rPr>
        <w:t xml:space="preserve">diskutoi me dyer të mbyllura më datë 13 </w:t>
      </w:r>
      <w:r w:rsidRPr="00BE1029">
        <w:rPr>
          <w:rFonts w:ascii="Garamond" w:hAnsi="Garamond" w:cs="Times New Roman"/>
          <w:color w:val="000000"/>
          <w:sz w:val="24"/>
          <w:szCs w:val="24"/>
          <w:lang w:val="sq-AL"/>
        </w:rPr>
        <w:t xml:space="preserve">shtator </w:t>
      </w:r>
      <w:r w:rsidR="00A43DB1" w:rsidRPr="00BE1029">
        <w:rPr>
          <w:rFonts w:ascii="Garamond" w:hAnsi="Garamond" w:cs="Times New Roman"/>
          <w:color w:val="000000"/>
          <w:sz w:val="24"/>
          <w:szCs w:val="24"/>
          <w:lang w:val="sq-AL"/>
        </w:rPr>
        <w:t>2022,</w:t>
      </w:r>
    </w:p>
    <w:p w14:paraId="0583285F" w14:textId="4B8AED28" w:rsidR="00A43DB1" w:rsidRPr="00BE1029" w:rsidRDefault="005709E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shpall </w:t>
      </w:r>
      <w:r w:rsidR="00A43DB1" w:rsidRPr="00BE1029">
        <w:rPr>
          <w:rFonts w:ascii="Garamond" w:hAnsi="Garamond" w:cs="Times New Roman"/>
          <w:color w:val="000000"/>
          <w:sz w:val="24"/>
          <w:szCs w:val="24"/>
          <w:lang w:val="sq-AL"/>
        </w:rPr>
        <w:t xml:space="preserve">vendimin e mëposhtëm, i cili u miratua në po atë datë: </w:t>
      </w:r>
    </w:p>
    <w:p w14:paraId="13B08614"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6145E44"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HYRJE </w:t>
      </w:r>
    </w:p>
    <w:p w14:paraId="43EF21BD" w14:textId="6FCEA9A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Kërkuesi është një ish-prokuror dhe çështja ka të bëjë me ankesën e tij mbështetur në </w:t>
      </w:r>
      <w:r w:rsidR="0057530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 1 të Konventës, se Kolegji i Posaçëm i Apelimit, që e shkarkoi nga detyra e tij e mëparshme, nuk </w:t>
      </w:r>
      <w:r w:rsidRPr="00BE1029">
        <w:rPr>
          <w:rFonts w:ascii="Garamond" w:hAnsi="Garamond" w:cs="Times New Roman"/>
          <w:color w:val="000000"/>
          <w:sz w:val="24"/>
          <w:szCs w:val="24"/>
          <w:lang w:val="sq-AL"/>
        </w:rPr>
        <w:lastRenderedPageBreak/>
        <w:t>ishte një “gjykatë e krijuar me ligj”, duke pasur parasysh se njëri prej gjyqtarëve</w:t>
      </w:r>
      <w:r w:rsidR="005709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e shqyrtoi çështjen e tij ishte caktuar në atë pozicion në shkelje të kriterit statutor të</w:t>
      </w:r>
      <w:r w:rsidR="005709E2"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përzgjedhshmërisë. </w:t>
      </w:r>
    </w:p>
    <w:p w14:paraId="142E6288"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FAKTET </w:t>
      </w:r>
    </w:p>
    <w:p w14:paraId="1614ED13" w14:textId="05EF342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 Kërkuesi ka lindur në vitin 1970 dhe banon në Tiranë. Ai u përfaqësua përpara Gjykatës nga z. E. Halimi, një avokat i cili e ushtron profesionin e tij në Tiranë. </w:t>
      </w:r>
    </w:p>
    <w:p w14:paraId="3BD7B770" w14:textId="7993096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3. Fillimisht, Qeveria u përfaqësua nga ish-</w:t>
      </w:r>
      <w:r w:rsidR="005709E2" w:rsidRPr="00BE1029">
        <w:rPr>
          <w:rFonts w:ascii="Garamond" w:hAnsi="Garamond" w:cs="Times New Roman"/>
          <w:color w:val="000000"/>
          <w:sz w:val="24"/>
          <w:szCs w:val="24"/>
          <w:lang w:val="sq-AL"/>
        </w:rPr>
        <w:t xml:space="preserve">agjentja </w:t>
      </w:r>
      <w:r w:rsidRPr="00BE1029">
        <w:rPr>
          <w:rFonts w:ascii="Garamond" w:hAnsi="Garamond" w:cs="Times New Roman"/>
          <w:color w:val="000000"/>
          <w:sz w:val="24"/>
          <w:szCs w:val="24"/>
          <w:lang w:val="sq-AL"/>
        </w:rPr>
        <w:t>e saj, z</w:t>
      </w:r>
      <w:r w:rsidR="005709E2" w:rsidRPr="00BE1029">
        <w:rPr>
          <w:rFonts w:ascii="Garamond" w:hAnsi="Garamond" w:cs="Times New Roman"/>
          <w:color w:val="000000"/>
          <w:sz w:val="24"/>
          <w:szCs w:val="24"/>
          <w:lang w:val="sq-AL"/>
        </w:rPr>
        <w:t>n</w:t>
      </w:r>
      <w:r w:rsidRPr="00BE1029">
        <w:rPr>
          <w:rFonts w:ascii="Garamond" w:hAnsi="Garamond" w:cs="Times New Roman"/>
          <w:color w:val="000000"/>
          <w:sz w:val="24"/>
          <w:szCs w:val="24"/>
          <w:lang w:val="sq-AL"/>
        </w:rPr>
        <w:t xml:space="preserve">j. B. Lilo, dhe më pas, nga z. O. Moçka, Avokati i Përgjithshëm i Shtetit. </w:t>
      </w:r>
    </w:p>
    <w:p w14:paraId="5DA50CBE" w14:textId="61AAB45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Faktet e çështjes mund të përmblidhen si më poshtë. </w:t>
      </w:r>
    </w:p>
    <w:p w14:paraId="7061BF5C" w14:textId="5DE0914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 KUADRI I PROCEDURAVE TË RIVLERËSIMIT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NË SHQIPËRI</w:t>
      </w:r>
    </w:p>
    <w:p w14:paraId="52A64842" w14:textId="0698AF0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Kuadri i përgjithshëm </w:t>
      </w:r>
    </w:p>
    <w:p w14:paraId="31EE57B4" w14:textId="7F459A8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 Në vitin 2016, Shqipëria ndërmori një reformë të thellë në sistemin e drejtësisë, reformë e cila çoi në ndryshimet e Kushtetutës dhe në miratimin e një sërë ligjeve në lidhje me, midis të tjerash, rivlerësimin e të gjithë gjyqtarëve dhe prokurorëve në detyrë, dhe të disa këshilltarëve/ndihmësve ligjorë (referuar ndryshe si “procesi i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(shih </w:t>
      </w:r>
      <w:r w:rsidRPr="00BE1029">
        <w:rPr>
          <w:rFonts w:ascii="Garamond" w:hAnsi="Garamond" w:cs="Times New Roman"/>
          <w:i/>
          <w:iCs/>
          <w:color w:val="000000"/>
          <w:sz w:val="24"/>
          <w:szCs w:val="24"/>
          <w:lang w:val="sq-AL"/>
        </w:rPr>
        <w:t>Xhoxhaj kundër Shqipërisë</w:t>
      </w:r>
      <w:r w:rsidR="00FF24E2"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nr. 15227/19, §§ 4</w:t>
      </w:r>
      <w:r w:rsidR="00FF24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7, 9 </w:t>
      </w:r>
      <w:r w:rsidR="00FF24E2"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2021). Parashikimet më të rëndësishme në lidhje me procesin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u përfshinë në një aneks në Kushtetutë. </w:t>
      </w:r>
    </w:p>
    <w:p w14:paraId="1FA75D99" w14:textId="7325A77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 Procesi i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-ut/rivlerësimit do të realizohej nga Komisioni i Pavarur i Kualifikimit (“KPK”) në shkallë të parë, dhe </w:t>
      </w:r>
      <w:r w:rsidR="00FF24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rastin e një apelimi – nga Kolegji i Posaçëm i Apelimit (“KPA”) pranë Gjykatës Kushtetuese (të cilat së bashku referohen si “organet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Shtetasit shqiptarë</w:t>
      </w:r>
      <w:r w:rsidR="005E4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midis kushteve të tjera, nuk kishin qenë subjekt i masës disiplinore të largimit nga detyra, ose të cilët nuk kishin qenë subjekt i një mase tjetër disiplinore që ishte ende në fuqi, mund të emëroheshin si anëtarë të organeve të </w:t>
      </w:r>
      <w:r w:rsidRPr="00BE1029">
        <w:rPr>
          <w:rFonts w:ascii="Garamond" w:hAnsi="Garamond" w:cs="Times New Roman"/>
          <w:i/>
          <w:iCs/>
          <w:color w:val="000000"/>
          <w:sz w:val="24"/>
          <w:szCs w:val="24"/>
          <w:lang w:val="sq-AL"/>
        </w:rPr>
        <w:t>vetting</w:t>
      </w:r>
      <w:r w:rsidR="005E4C26" w:rsidRPr="00BE1029">
        <w:rPr>
          <w:rFonts w:ascii="Garamond" w:hAnsi="Garamond" w:cs="Times New Roman"/>
          <w:color w:val="000000"/>
          <w:sz w:val="24"/>
          <w:szCs w:val="24"/>
          <w:lang w:val="sq-AL"/>
        </w:rPr>
        <w:t>-ut (po aty, §</w:t>
      </w:r>
      <w:r w:rsidRPr="00BE1029">
        <w:rPr>
          <w:rFonts w:ascii="Garamond" w:hAnsi="Garamond" w:cs="Times New Roman"/>
          <w:color w:val="000000"/>
          <w:sz w:val="24"/>
          <w:szCs w:val="24"/>
          <w:lang w:val="sq-AL"/>
        </w:rPr>
        <w:t>123; shih edhe paragrafin 50 më poshtë). Në vijim të procesit të përzgjedhjes paraprake të ndërmarrë nga Presidenti i Republikës (ose në raste të caktuara nga Avokati i Popullit), kandidatët do të</w:t>
      </w:r>
      <w:r w:rsidR="005E4C26" w:rsidRPr="00BE1029">
        <w:rPr>
          <w:rFonts w:ascii="Garamond" w:hAnsi="Garamond" w:cs="Times New Roman"/>
          <w:color w:val="000000"/>
          <w:sz w:val="24"/>
          <w:szCs w:val="24"/>
          <w:lang w:val="sq-AL"/>
        </w:rPr>
        <w:t xml:space="preserve"> intervistoheshin dhe në vijim </w:t>
      </w:r>
      <w:r w:rsidRPr="00BE1029">
        <w:rPr>
          <w:rFonts w:ascii="Garamond" w:hAnsi="Garamond" w:cs="Times New Roman"/>
          <w:color w:val="000000"/>
          <w:sz w:val="24"/>
          <w:szCs w:val="24"/>
          <w:lang w:val="sq-AL"/>
        </w:rPr>
        <w:t xml:space="preserve">do të emëroheshin nga Parlamenti. </w:t>
      </w:r>
    </w:p>
    <w:p w14:paraId="72BE7BD0" w14:textId="53B95E3C" w:rsidR="00A43DB1" w:rsidRPr="00BE1029" w:rsidRDefault="00A43DB1" w:rsidP="005F1EE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 KPK</w:t>
      </w:r>
      <w:r w:rsidR="00C21182"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dhe KPA</w:t>
      </w:r>
      <w:r w:rsidR="00C21182"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do të rivlerësonin të gjithë gjyqtarët dhe prokurorët në de</w:t>
      </w:r>
      <w:r w:rsidR="00932E06" w:rsidRPr="00BE1029">
        <w:rPr>
          <w:rFonts w:ascii="Garamond" w:hAnsi="Garamond" w:cs="Times New Roman"/>
          <w:color w:val="000000"/>
          <w:sz w:val="24"/>
          <w:szCs w:val="24"/>
          <w:lang w:val="sq-AL"/>
        </w:rPr>
        <w:t>tyrë në bazë të tr</w:t>
      </w:r>
      <w:r w:rsidR="005F1EE6" w:rsidRPr="00BE1029">
        <w:rPr>
          <w:rFonts w:ascii="Garamond" w:hAnsi="Garamond" w:cs="Times New Roman"/>
          <w:color w:val="000000"/>
          <w:sz w:val="24"/>
          <w:szCs w:val="24"/>
          <w:lang w:val="sq-AL"/>
        </w:rPr>
        <w:t>i</w:t>
      </w:r>
      <w:r w:rsidR="00932E06" w:rsidRPr="00BE1029">
        <w:rPr>
          <w:rFonts w:ascii="Garamond" w:hAnsi="Garamond" w:cs="Times New Roman"/>
          <w:color w:val="000000"/>
          <w:sz w:val="24"/>
          <w:szCs w:val="24"/>
          <w:lang w:val="sq-AL"/>
        </w:rPr>
        <w:t xml:space="preserve"> kritereve: </w:t>
      </w:r>
      <w:r w:rsidRPr="00BE1029">
        <w:rPr>
          <w:rFonts w:ascii="Garamond" w:hAnsi="Garamond" w:cs="Times New Roman"/>
          <w:color w:val="000000"/>
          <w:sz w:val="24"/>
          <w:szCs w:val="24"/>
          <w:lang w:val="sq-AL"/>
        </w:rPr>
        <w:t>i</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vlerësimi</w:t>
      </w:r>
      <w:r w:rsidR="00932E06" w:rsidRPr="00BE1029">
        <w:rPr>
          <w:rFonts w:ascii="Garamond" w:hAnsi="Garamond" w:cs="Times New Roman"/>
          <w:color w:val="000000"/>
          <w:sz w:val="24"/>
          <w:szCs w:val="24"/>
          <w:lang w:val="sq-AL"/>
        </w:rPr>
        <w:t xml:space="preserve"> i pasurisë së tyre personale; </w:t>
      </w:r>
      <w:r w:rsidRPr="00BE1029">
        <w:rPr>
          <w:rFonts w:ascii="Garamond" w:hAnsi="Garamond" w:cs="Times New Roman"/>
          <w:color w:val="000000"/>
          <w:sz w:val="24"/>
          <w:szCs w:val="24"/>
          <w:lang w:val="sq-AL"/>
        </w:rPr>
        <w:t>ii</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kontrolli i figurës dhe </w:t>
      </w:r>
      <w:r w:rsidR="005F1EE6" w:rsidRPr="00BE1029">
        <w:rPr>
          <w:rFonts w:ascii="Garamond" w:hAnsi="Garamond" w:cs="Times New Roman"/>
          <w:color w:val="000000"/>
          <w:sz w:val="24"/>
          <w:szCs w:val="24"/>
          <w:lang w:val="sq-AL"/>
        </w:rPr>
        <w:t xml:space="preserve">i </w:t>
      </w:r>
      <w:r w:rsidRPr="00BE1029">
        <w:rPr>
          <w:rFonts w:ascii="Garamond" w:hAnsi="Garamond" w:cs="Times New Roman"/>
          <w:color w:val="000000"/>
          <w:sz w:val="24"/>
          <w:szCs w:val="24"/>
          <w:lang w:val="sq-AL"/>
        </w:rPr>
        <w:t>integritetit me synimin që të identifikoheshin lidhje të mundshme me krimin e organizuar</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dhe iii</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vlerësimi i ekspertizës së tyre profesionale. Komisioneri Publik do të përfaqësonte interesin publik përpara organeve të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Operacioni Ndërkombëtar i Monitorimit (“ONM”) i udhëhequr nga Komisioni Evropian dhe i përbërë nga vëzhgues ndërkombëtarë do të mbështeste, monitoronte dhe mbikëqyrte procesin e rivlerësimit. Në përfundim të secilit grup të procedurave të rivlerësimit, organet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do të jepnin vendime të arsyetuara</w:t>
      </w:r>
      <w:r w:rsidR="005F1EE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konfirmonin në detyrë ose pezullonin ose shkarkonin nga detyra personin e vlerësuar. </w:t>
      </w:r>
    </w:p>
    <w:p w14:paraId="0503EDD1" w14:textId="6CBD9C0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B. Emërimet dhe shkarkimet nga d</w:t>
      </w:r>
      <w:r w:rsidR="005F1EE6" w:rsidRPr="00BE1029">
        <w:rPr>
          <w:rFonts w:ascii="Garamond" w:hAnsi="Garamond" w:cs="Times New Roman"/>
          <w:b/>
          <w:bCs/>
          <w:color w:val="000000"/>
          <w:sz w:val="24"/>
          <w:szCs w:val="24"/>
          <w:lang w:val="sq-AL"/>
        </w:rPr>
        <w:t>etyra të gjyqtarit L.</w:t>
      </w:r>
      <w:r w:rsidRPr="00BE1029">
        <w:rPr>
          <w:rFonts w:ascii="Garamond" w:hAnsi="Garamond" w:cs="Times New Roman"/>
          <w:b/>
          <w:bCs/>
          <w:color w:val="000000"/>
          <w:sz w:val="24"/>
          <w:szCs w:val="24"/>
          <w:lang w:val="sq-AL"/>
        </w:rPr>
        <w:t xml:space="preserve">D. </w:t>
      </w:r>
    </w:p>
    <w:p w14:paraId="2D02BA4A" w14:textId="3F128D4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1.</w:t>
      </w:r>
      <w:r w:rsidR="00BB6ABE" w:rsidRPr="00BE1029">
        <w:rPr>
          <w:rFonts w:ascii="Garamond" w:hAnsi="Garamond" w:cs="Times New Roman"/>
          <w:i/>
          <w:iCs/>
          <w:color w:val="000000"/>
          <w:sz w:val="24"/>
          <w:szCs w:val="24"/>
          <w:lang w:val="sq-AL"/>
        </w:rPr>
        <w:t xml:space="preserve"> </w:t>
      </w:r>
      <w:r w:rsidRPr="00BE1029">
        <w:rPr>
          <w:rFonts w:ascii="Garamond" w:hAnsi="Garamond" w:cs="Times New Roman"/>
          <w:i/>
          <w:iCs/>
          <w:color w:val="000000"/>
          <w:sz w:val="24"/>
          <w:szCs w:val="24"/>
          <w:lang w:val="sq-AL"/>
        </w:rPr>
        <w:t>Emërimi dhe shkarkimi nga detyra si gjyqtar i Gjykatës së Rrethit Tiranë</w:t>
      </w:r>
    </w:p>
    <w:p w14:paraId="1D3966B1" w14:textId="7304FEF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 Më 24 </w:t>
      </w:r>
      <w:r w:rsidR="005F1EE6"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1994, L.D. u emërua si gjyqtar i Gjykatës së Rrethit Tiranë. Më 24 </w:t>
      </w:r>
      <w:r w:rsidR="002A430C"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1997, Këshilli i Lartë Gjyqësor (“KLGJ”), i cili në periudhën në fjalë ishte organi që emëronte dhe sh</w:t>
      </w:r>
      <w:r w:rsidR="008D0645" w:rsidRPr="00BE1029">
        <w:rPr>
          <w:rFonts w:ascii="Garamond" w:hAnsi="Garamond" w:cs="Times New Roman"/>
          <w:color w:val="000000"/>
          <w:sz w:val="24"/>
          <w:szCs w:val="24"/>
          <w:lang w:val="sq-AL"/>
        </w:rPr>
        <w:t>karkonte gjyqtarët, shkarkoi L.</w:t>
      </w:r>
      <w:r w:rsidRPr="00BE1029">
        <w:rPr>
          <w:rFonts w:ascii="Garamond" w:hAnsi="Garamond" w:cs="Times New Roman"/>
          <w:color w:val="000000"/>
          <w:sz w:val="24"/>
          <w:szCs w:val="24"/>
          <w:lang w:val="sq-AL"/>
        </w:rPr>
        <w:t xml:space="preserve">D. nga detyra e tij për shkelje të ligjit dhe për paaftësi në detyrë. </w:t>
      </w:r>
    </w:p>
    <w:p w14:paraId="3E25539E" w14:textId="21C8BB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 Pas një thirrje të hapur për rekrutimin e pesë gjyqtarëve në Gjykatën e Rrethit Tiranë, dhe pas aplikimit të L.D. për njërin prej pozicioneve, më 5 </w:t>
      </w:r>
      <w:r w:rsidR="008D0645"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2016, KLGJ</w:t>
      </w:r>
      <w:r w:rsidR="008D0645" w:rsidRPr="00BE1029">
        <w:rPr>
          <w:rFonts w:ascii="Garamond" w:hAnsi="Garamond" w:cs="Times New Roman"/>
          <w:color w:val="000000"/>
          <w:sz w:val="24"/>
          <w:szCs w:val="24"/>
          <w:lang w:val="sq-AL"/>
        </w:rPr>
        <w:t>-ja vendosi ta skualifikonte L.</w:t>
      </w:r>
      <w:r w:rsidRPr="00BE1029">
        <w:rPr>
          <w:rFonts w:ascii="Garamond" w:hAnsi="Garamond" w:cs="Times New Roman"/>
          <w:color w:val="000000"/>
          <w:sz w:val="24"/>
          <w:szCs w:val="24"/>
          <w:lang w:val="sq-AL"/>
        </w:rPr>
        <w:t xml:space="preserve">D. nga konkursi me arsyetimin se ai ishte shkarkuar nga i njëjti pozicion më 24 </w:t>
      </w:r>
      <w:r w:rsidR="008D0645"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 xml:space="preserve">1997. </w:t>
      </w:r>
    </w:p>
    <w:p w14:paraId="27062DD9" w14:textId="2CC0CEF1"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Emërimi dhe shkarkimi i L.D. nga KPA</w:t>
      </w:r>
      <w:r w:rsidR="008D0645" w:rsidRPr="00BE1029">
        <w:rPr>
          <w:rFonts w:ascii="Garamond" w:hAnsi="Garamond" w:cs="Times New Roman"/>
          <w:i/>
          <w:iCs/>
          <w:color w:val="000000"/>
          <w:sz w:val="24"/>
          <w:szCs w:val="24"/>
          <w:lang w:val="sq-AL"/>
        </w:rPr>
        <w:t>-ja</w:t>
      </w:r>
    </w:p>
    <w:p w14:paraId="7849E576" w14:textId="0BBDB54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 Si përgjigje ndaj një thirrje publike për shprehje të interesit të lëshuar nga Avokati i Popullit, më 3 </w:t>
      </w:r>
      <w:r w:rsidR="001B5AC8"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2017, L.D. paraqiti një aplikim ku shprehte interesin e tij për, midis vakancave të tjera, pozicionin si gjyqtar i KPA</w:t>
      </w:r>
      <w:r w:rsidR="001B5AC8" w:rsidRPr="00BE1029">
        <w:rPr>
          <w:rFonts w:ascii="Garamond" w:hAnsi="Garamond" w:cs="Times New Roman"/>
          <w:color w:val="000000"/>
          <w:sz w:val="24"/>
          <w:szCs w:val="24"/>
          <w:lang w:val="sq-AL"/>
        </w:rPr>
        <w:t>-sa</w:t>
      </w:r>
      <w:r w:rsidRPr="00BE1029">
        <w:rPr>
          <w:rFonts w:ascii="Garamond" w:hAnsi="Garamond" w:cs="Times New Roman"/>
          <w:color w:val="000000"/>
          <w:sz w:val="24"/>
          <w:szCs w:val="24"/>
          <w:lang w:val="sq-AL"/>
        </w:rPr>
        <w:t>. Në aplikimin e tij, L.D. listonte kriteret kryesore për përzgjedhje në atë pozicion dhe pohonte se i përmbushte që të gjitha ato. Veçanërisht, në aplikimin e tij, ai deklaronte</w:t>
      </w:r>
      <w:r w:rsidR="001B5AC8"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më poshtë: </w:t>
      </w:r>
    </w:p>
    <w:p w14:paraId="45F4D774" w14:textId="32E33EE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kundër meje nuk është ndërmarrë ndonjë masë disi</w:t>
      </w:r>
      <w:r w:rsidR="001B5AC8" w:rsidRPr="00BE1029">
        <w:rPr>
          <w:rFonts w:ascii="Garamond" w:hAnsi="Garamond" w:cs="Times New Roman"/>
          <w:color w:val="000000"/>
          <w:sz w:val="24"/>
          <w:szCs w:val="24"/>
          <w:lang w:val="sq-AL"/>
        </w:rPr>
        <w:t>plinore për shkarkim nga detyra</w:t>
      </w:r>
      <w:r w:rsidRPr="00BE1029">
        <w:rPr>
          <w:rFonts w:ascii="Garamond" w:hAnsi="Garamond" w:cs="Times New Roman"/>
          <w:color w:val="000000"/>
          <w:sz w:val="24"/>
          <w:szCs w:val="24"/>
          <w:lang w:val="sq-AL"/>
        </w:rPr>
        <w:t xml:space="preserve"> apo ndonjë masë disiplinore që është ende në fuqi, sipas ligjit të zbatueshëm në periudhën e aplikimit [tim për pozicionin e gjyqtarit të KPA-së].”</w:t>
      </w:r>
    </w:p>
    <w:p w14:paraId="5CFA5315" w14:textId="10DC089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 Pas krijimit nga Avokati i Popullit të një komisioni </w:t>
      </w:r>
      <w:r w:rsidRPr="00BE1029">
        <w:rPr>
          <w:rFonts w:ascii="Garamond" w:hAnsi="Garamond" w:cs="Times New Roman"/>
          <w:i/>
          <w:iCs/>
          <w:color w:val="000000"/>
          <w:sz w:val="24"/>
          <w:szCs w:val="24"/>
          <w:lang w:val="sq-AL"/>
        </w:rPr>
        <w:t>ad hoc</w:t>
      </w:r>
      <w:r w:rsidRPr="00BE1029">
        <w:rPr>
          <w:rFonts w:ascii="Garamond" w:hAnsi="Garamond" w:cs="Times New Roman"/>
          <w:color w:val="000000"/>
          <w:sz w:val="24"/>
          <w:szCs w:val="24"/>
          <w:lang w:val="sq-AL"/>
        </w:rPr>
        <w:t xml:space="preserve">, i cili do të shqyrtonte të gjitha aplikimet e marra për pozicionet në organet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më 13 </w:t>
      </w:r>
      <w:r w:rsidR="001B5AC8"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2017, ky komision dhe ONM</w:t>
      </w:r>
      <w:r w:rsidR="001B5AC8"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miratuan një protokoll për metodën</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së cilës do të vlerësohej përmbushja e kritereve statutore për përzgjedhshmërinë nga kandidatët. Për sa ka</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të bëjë me situatën, protokolli parashikonte se një vetëdeklarim nga ana e kandidatëve do të ishte mjaftueshëm të konsiderohej se një kandidat nuk kishte qenë “subjekt i masës disi</w:t>
      </w:r>
      <w:r w:rsidR="00AD4D73" w:rsidRPr="00BE1029">
        <w:rPr>
          <w:rFonts w:ascii="Garamond" w:hAnsi="Garamond" w:cs="Times New Roman"/>
          <w:color w:val="000000"/>
          <w:sz w:val="24"/>
          <w:szCs w:val="24"/>
          <w:lang w:val="sq-AL"/>
        </w:rPr>
        <w:t>plinore për shkarkim nga detyra</w:t>
      </w:r>
      <w:r w:rsidRPr="00BE1029">
        <w:rPr>
          <w:rFonts w:ascii="Garamond" w:hAnsi="Garamond" w:cs="Times New Roman"/>
          <w:color w:val="000000"/>
          <w:sz w:val="24"/>
          <w:szCs w:val="24"/>
          <w:lang w:val="sq-AL"/>
        </w:rPr>
        <w:t xml:space="preserve"> apo i ndonjë mase tjetër disiplinore</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kishte qenë ende në fuqi në kohën e aplikimit”</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një pozicion në njërin prej organeve të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sipas parashikimit në </w:t>
      </w:r>
      <w:r w:rsidR="00AD4D7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AD4D73"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(shih paragrafin 50 më poshtë).</w:t>
      </w:r>
      <w:r w:rsidR="00BB6ABE" w:rsidRPr="00BE1029">
        <w:rPr>
          <w:rFonts w:ascii="Garamond" w:hAnsi="Garamond" w:cs="Times New Roman"/>
          <w:color w:val="000000"/>
          <w:sz w:val="24"/>
          <w:szCs w:val="24"/>
          <w:lang w:val="sq-AL"/>
        </w:rPr>
        <w:t xml:space="preserve"> </w:t>
      </w:r>
    </w:p>
    <w:p w14:paraId="0A523395" w14:textId="6442B9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 Pas një sërë komunikimesh midis Avokatit të Popullit, ONM dhe Parlamentit, në fund Avokati i Popullit paraqiti në Parlament një listë me kandidatët</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përmbushnin kriteret statutore të përzgjedhshmërisë. Lista përfshinte edhe L.D.</w:t>
      </w:r>
    </w:p>
    <w:p w14:paraId="0E91A4A3" w14:textId="78D4D7F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 Më 2 </w:t>
      </w:r>
      <w:r w:rsidR="00AD4D73"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2017, një komision i posaçëm në Parlament zhvilloi një seancë gjatë së cilës intervistoi L.D. dhe kandidatët e tjerë për organet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Njëri prej anëtarëve të komisionit e pyeti L.D.</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ishte shkarkuar nga detyra apo nëse ishte dorëhequr nga pozicioni i tij i mëparshëm si gjyqtar i Gjykatës së Rrethit Tiranë. L.D. u përgjigj se ishte dorëhequr. </w:t>
      </w:r>
    </w:p>
    <w:p w14:paraId="0465BBF6" w14:textId="262F48C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 Me anë të vendimit nr. 82/2017, të datës 17 </w:t>
      </w:r>
      <w:r w:rsidR="00F0099A"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2017, Parlamenti konfirmoi </w:t>
      </w:r>
      <w:r w:rsidRPr="00BE1029">
        <w:rPr>
          <w:rFonts w:ascii="Garamond" w:hAnsi="Garamond" w:cs="Times New Roman"/>
          <w:i/>
          <w:iCs/>
          <w:color w:val="000000"/>
          <w:sz w:val="24"/>
          <w:szCs w:val="24"/>
          <w:lang w:val="sq-AL"/>
        </w:rPr>
        <w:t>en block</w:t>
      </w:r>
      <w:r w:rsidRPr="00BE1029">
        <w:rPr>
          <w:rFonts w:ascii="Garamond" w:hAnsi="Garamond" w:cs="Times New Roman"/>
          <w:color w:val="000000"/>
          <w:sz w:val="24"/>
          <w:szCs w:val="24"/>
          <w:lang w:val="sq-AL"/>
        </w:rPr>
        <w:t xml:space="preserve"> listën e anëtarëve të organeve të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ku L.D. emërohej si gjyqtar i KPA-së. </w:t>
      </w:r>
    </w:p>
    <w:p w14:paraId="4DE88F6D" w14:textId="1F68E29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15. Më 17 </w:t>
      </w:r>
      <w:r w:rsidR="00F0099A"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2020, teksa procedurat për rivlerësimin e ankuesit ishin në vijim përpara KPA-së (shih paragrafët 33</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34 më poshtë), kërkuesi paraqiti një padi penale në lidhje me L.D. Pad</w:t>
      </w:r>
      <w:r w:rsidR="00F0099A" w:rsidRPr="00BE1029">
        <w:rPr>
          <w:rFonts w:ascii="Garamond" w:hAnsi="Garamond" w:cs="Times New Roman"/>
          <w:color w:val="000000"/>
          <w:sz w:val="24"/>
          <w:szCs w:val="24"/>
          <w:lang w:val="sq-AL"/>
        </w:rPr>
        <w:t>ia i referohej shkarkimit të L.</w:t>
      </w:r>
      <w:r w:rsidRPr="00BE1029">
        <w:rPr>
          <w:rFonts w:ascii="Garamond" w:hAnsi="Garamond" w:cs="Times New Roman"/>
          <w:color w:val="000000"/>
          <w:sz w:val="24"/>
          <w:szCs w:val="24"/>
          <w:lang w:val="sq-AL"/>
        </w:rPr>
        <w:t>D. në vitin 1997 nga detyra si gjyqtar i Gjykatës së Rrethit Tiranë (shih paragrafin 8 më sipër), dhe pretendonte se L.D. ishte përfshirë në “falsifikim dokumentesh”</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dorëzuar përpara Avokatit të Popullit një aplikim ku deklarohej se ai nuk ishte shkarkuar asnjëherë nga ndonjë detyrë (shih paragrafin 10 më sipër). Pas një vendimi të miratuar nga prokuroria, më 15 </w:t>
      </w:r>
      <w:r w:rsidR="00F0099A"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2020, ku L.D. akuzohej për falsifikim dokumentesh, më 24 </w:t>
      </w:r>
      <w:r w:rsidR="00F0099A"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2020, KPA</w:t>
      </w:r>
      <w:r w:rsidR="00F0099A" w:rsidRPr="00BE1029">
        <w:rPr>
          <w:rFonts w:ascii="Garamond" w:hAnsi="Garamond" w:cs="Times New Roman"/>
          <w:color w:val="000000"/>
          <w:sz w:val="24"/>
          <w:szCs w:val="24"/>
          <w:lang w:val="sq-AL"/>
        </w:rPr>
        <w:t>-ja</w:t>
      </w:r>
      <w:r w:rsidR="00894EC0" w:rsidRPr="00BE1029">
        <w:rPr>
          <w:rFonts w:ascii="Garamond" w:hAnsi="Garamond" w:cs="Times New Roman"/>
          <w:color w:val="000000"/>
          <w:sz w:val="24"/>
          <w:szCs w:val="24"/>
          <w:lang w:val="sq-AL"/>
        </w:rPr>
        <w:t xml:space="preserve"> vendosi ta pezullonte L.</w:t>
      </w:r>
      <w:r w:rsidRPr="00BE1029">
        <w:rPr>
          <w:rFonts w:ascii="Garamond" w:hAnsi="Garamond" w:cs="Times New Roman"/>
          <w:color w:val="000000"/>
          <w:sz w:val="24"/>
          <w:szCs w:val="24"/>
          <w:lang w:val="sq-AL"/>
        </w:rPr>
        <w:t xml:space="preserve">D. nga detyra e tij si gjyqtar i KPA-së. </w:t>
      </w:r>
    </w:p>
    <w:p w14:paraId="6DD3383D" w14:textId="2E52826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16. Pas konfirmimit nga Gjykata e Lartë e dënimit të L.D. për veprën në fjalë (shih paragrafin 27 më poshtë), më 31 </w:t>
      </w:r>
      <w:r w:rsidR="00384962"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2021, komisioni disiplinor i KPA (“Komisioni Disiplinor”) – i cili është organi me autoritetin për të marrë një vendim</w:t>
      </w:r>
      <w:r w:rsidR="0038496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shkeljet disiplinore të kryera nga gjyqtarët e KPA-së – shkarkoi L.D. nga detyra e tij si gjyqtar i KPA-së. Komisioni Disiplinor iu referua </w:t>
      </w:r>
      <w:r w:rsidR="0038496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128 § 2 (b) të Kushtetutës, duke konstatuar se L.D. dënohej për një shkelje disiplinore, gjë që e bënte të papërshtatshëm për të vijuar që të mbante detyrën si gjyqtar i KPA-së. Si përgjigje ndaj argumentit të L.D. se dënimi i tij ishte në kundërshtim me ligjin, Komisioni Disiplinor theksoi se juridiksioni i tij shkonte deri në pikën ku shtrohej pyetja nëse L.D. kishte qenë dënuar apo jo, dhe se ai nuk mund të dëgjonte argumentet në lidhje me meritat e dënimit. </w:t>
      </w:r>
    </w:p>
    <w:p w14:paraId="2CA1A512" w14:textId="5987928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C. Procesi penal ndaj L.D. </w:t>
      </w:r>
    </w:p>
    <w:p w14:paraId="39A9B668" w14:textId="19E30D90"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Vendimi i shkallës së parë</w:t>
      </w:r>
    </w:p>
    <w:p w14:paraId="04D3A981" w14:textId="30D76AE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17. Në aktakuzën e saj ndaj L.D., prokuroria parashtroi, për sa ka të bëjë me çështjen, se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vetëm kandidatët të cilët nuk kishin qenë shkarkuar më herët nga detyra mund të emëroheshin si gjyqtarë të KPA-s</w:t>
      </w:r>
      <w:r w:rsidR="009D24C8" w:rsidRPr="00BE1029">
        <w:rPr>
          <w:rFonts w:ascii="Garamond" w:hAnsi="Garamond" w:cs="Times New Roman"/>
          <w:color w:val="000000"/>
          <w:sz w:val="24"/>
          <w:szCs w:val="24"/>
          <w:lang w:val="sq-AL"/>
        </w:rPr>
        <w:t>ë. Në vijim, argumentohej se L.</w:t>
      </w:r>
      <w:r w:rsidRPr="00BE1029">
        <w:rPr>
          <w:rFonts w:ascii="Garamond" w:hAnsi="Garamond" w:cs="Times New Roman"/>
          <w:color w:val="000000"/>
          <w:sz w:val="24"/>
          <w:szCs w:val="24"/>
          <w:lang w:val="sq-AL"/>
        </w:rPr>
        <w:t xml:space="preserve">D. kishte paraqitur një aplikim të falsifikuar përpara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në kundërshtim me </w:t>
      </w:r>
      <w:r w:rsidR="009D24C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186 § 1 të Kodit Penal; falsifikimi kishte të bënte me një deklaratë me shkrim ku pohohej se ai nuk ishte shkarkuar kurrë nga ndonjë detyrë. </w:t>
      </w:r>
    </w:p>
    <w:p w14:paraId="471A641F" w14:textId="74C5A198" w:rsidR="00A43DB1" w:rsidRPr="00BE1029" w:rsidRDefault="00A43DB1" w:rsidP="00E94D53">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18. L.D. e mohoi akuzën. Ai parashtroi se masa disiplinore kundër tij në vitin 1997 ishte hequr nga të dhënat e tij (ishte shuar) në mbështetje të </w:t>
      </w:r>
      <w:r w:rsidR="00E568AE"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33(6) të </w:t>
      </w:r>
      <w:r w:rsidR="00E568AE" w:rsidRPr="00BE1029">
        <w:rPr>
          <w:rFonts w:ascii="Garamond" w:hAnsi="Garamond" w:cs="Times New Roman"/>
          <w:color w:val="000000"/>
          <w:sz w:val="24"/>
          <w:szCs w:val="24"/>
          <w:lang w:val="sq-AL"/>
        </w:rPr>
        <w:t xml:space="preserve">ligjit për gjyqësorin </w:t>
      </w:r>
      <w:r w:rsidRPr="00BE1029">
        <w:rPr>
          <w:rFonts w:ascii="Garamond" w:hAnsi="Garamond" w:cs="Times New Roman"/>
          <w:color w:val="000000"/>
          <w:sz w:val="24"/>
          <w:szCs w:val="24"/>
          <w:lang w:val="sq-AL"/>
        </w:rPr>
        <w:t>të vitit 2008 (</w:t>
      </w:r>
      <w:r w:rsidR="00E568AE"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lastRenderedPageBreak/>
        <w:t>nr. 9877/2008</w:t>
      </w:r>
      <w:r w:rsidR="00E568AE"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r w:rsidR="00E568AE" w:rsidRPr="00BE1029">
        <w:rPr>
          <w:rFonts w:ascii="Garamond" w:hAnsi="Garamond" w:cs="Times New Roman"/>
          <w:color w:val="000000"/>
          <w:sz w:val="24"/>
          <w:szCs w:val="24"/>
          <w:lang w:val="sq-AL"/>
        </w:rPr>
        <w:t xml:space="preserve">“Për organizimin dhe funksionimin e pushtetit gjyqësor”, </w:t>
      </w:r>
      <w:r w:rsidRPr="00BE1029">
        <w:rPr>
          <w:rFonts w:ascii="Garamond" w:hAnsi="Garamond" w:cs="Times New Roman"/>
          <w:color w:val="000000"/>
          <w:sz w:val="24"/>
          <w:szCs w:val="24"/>
          <w:lang w:val="sq-AL"/>
        </w:rPr>
        <w:t>i ndryshuar) (shih paragrafin 55 më poshtë), i cili, sipas mendimit të tij, parashikonte se masat disiplinore</w:t>
      </w:r>
      <w:r w:rsidR="00E94D5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shkeljet e rënda do të hiqeshin nga të dhënat e gjyqtarit në fjalë brenda tr</w:t>
      </w:r>
      <w:r w:rsidR="00E94D53" w:rsidRPr="00BE1029">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viteve, nëse gjatë asaj periudhe nuk ishte dhënë asnjë masë tjetër disiplinore. </w:t>
      </w:r>
    </w:p>
    <w:p w14:paraId="5A7FE42F" w14:textId="12961F0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19. Më 1 </w:t>
      </w:r>
      <w:r w:rsidR="00E94D53"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2020, Gjykata e Shkallës së Parë Kundër Korrupsionit dhe Kr</w:t>
      </w:r>
      <w:r w:rsidR="00E94D53" w:rsidRPr="00BE1029">
        <w:rPr>
          <w:rFonts w:ascii="Garamond" w:hAnsi="Garamond" w:cs="Times New Roman"/>
          <w:color w:val="000000"/>
          <w:sz w:val="24"/>
          <w:szCs w:val="24"/>
          <w:lang w:val="sq-AL"/>
        </w:rPr>
        <w:t>imit të Organizuar e shpalli L.</w:t>
      </w:r>
      <w:r w:rsidRPr="00BE1029">
        <w:rPr>
          <w:rFonts w:ascii="Garamond" w:hAnsi="Garamond" w:cs="Times New Roman"/>
          <w:color w:val="000000"/>
          <w:sz w:val="24"/>
          <w:szCs w:val="24"/>
          <w:lang w:val="sq-AL"/>
        </w:rPr>
        <w:t xml:space="preserve">D. fajtor për falsifikim dokumentesh dhe e dënoi me gjashtë muaj burgim, pezulluar për dymbëdhjetë muaj. </w:t>
      </w:r>
    </w:p>
    <w:p w14:paraId="7761C0A1" w14:textId="28C3B15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20. Gjykata vlerësoi se në mbështetje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një kandidat skualifikohet nga mbajtja e pozicionit si gjyqtar i KPA-së, nëse ai/ajo ka qenë subjekt i masës disiplinore të shkarkimit nga detyra, pavarësisht datës se kur është dhënë ajo masë. </w:t>
      </w:r>
    </w:p>
    <w:p w14:paraId="7C27CD5B" w14:textId="6E884EE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21. Në vijim, gjykata vlerësoi se në mbështetje të </w:t>
      </w:r>
      <w:r w:rsidR="00A60C2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6(1) (dh) të </w:t>
      </w:r>
      <w:r w:rsidR="00A60C26" w:rsidRPr="00BE1029">
        <w:rPr>
          <w:rFonts w:ascii="Garamond" w:hAnsi="Garamond" w:cs="Times New Roman"/>
          <w:color w:val="000000"/>
          <w:sz w:val="24"/>
          <w:szCs w:val="24"/>
          <w:lang w:val="sq-AL"/>
        </w:rPr>
        <w:t>ligjit për rivlerësimin</w:t>
      </w:r>
      <w:r w:rsidRPr="00BE1029">
        <w:rPr>
          <w:rFonts w:ascii="Garamond" w:hAnsi="Garamond" w:cs="Times New Roman"/>
          <w:color w:val="000000"/>
          <w:sz w:val="24"/>
          <w:szCs w:val="24"/>
          <w:lang w:val="sq-AL"/>
        </w:rPr>
        <w:t xml:space="preserve">, nëse një kandidat kishte qenë subjekt i masës disiplinore të shkarkimit nga detyra, kjo nënkuptonte se kandidati nuk përmbushte kushtet statutore për emërimin në pozicionin si gjyqtar i KPA-së. </w:t>
      </w:r>
    </w:p>
    <w:p w14:paraId="1DFE196B" w14:textId="3C836638" w:rsidR="00A43DB1" w:rsidRPr="00BE1029" w:rsidRDefault="00A43DB1" w:rsidP="00A60C2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22. Si përgjigje ndaj argumentit të L.D.</w:t>
      </w:r>
      <w:r w:rsidR="00A60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masa kundër tij ishte hequr nga të dhënat e tij, gjykata vlerësoi se </w:t>
      </w:r>
      <w:r w:rsidR="00453AE5"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32(1) i vitit 2008 i </w:t>
      </w:r>
      <w:r w:rsidR="00A60C26" w:rsidRPr="00BE1029">
        <w:rPr>
          <w:rFonts w:ascii="Garamond" w:hAnsi="Garamond" w:cs="Times New Roman"/>
          <w:color w:val="000000"/>
          <w:sz w:val="24"/>
          <w:szCs w:val="24"/>
          <w:lang w:val="sq-AL"/>
        </w:rPr>
        <w:t>ligjit për pushtetin gjyqësor</w:t>
      </w:r>
      <w:r w:rsidRPr="00BE1029">
        <w:rPr>
          <w:rFonts w:ascii="Garamond" w:hAnsi="Garamond" w:cs="Times New Roman"/>
          <w:color w:val="000000"/>
          <w:sz w:val="24"/>
          <w:szCs w:val="24"/>
          <w:lang w:val="sq-AL"/>
        </w:rPr>
        <w:t>, parashikonte tr</w:t>
      </w:r>
      <w:r w:rsidR="00A60C26" w:rsidRPr="00BE1029">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lloje të masave disiplinore, më konkretisht: i</w:t>
      </w:r>
      <w:r w:rsidR="00453AE5" w:rsidRPr="00BE1029">
        <w:rPr>
          <w:rFonts w:ascii="Garamond" w:hAnsi="Garamond" w:cs="Times New Roman"/>
          <w:color w:val="000000"/>
          <w:sz w:val="24"/>
          <w:szCs w:val="24"/>
          <w:lang w:val="sq-AL"/>
        </w:rPr>
        <w:t xml:space="preserve">. masat më pak të rënda; </w:t>
      </w:r>
      <w:r w:rsidRPr="00BE1029">
        <w:rPr>
          <w:rFonts w:ascii="Garamond" w:hAnsi="Garamond" w:cs="Times New Roman"/>
          <w:color w:val="000000"/>
          <w:sz w:val="24"/>
          <w:szCs w:val="24"/>
          <w:lang w:val="sq-AL"/>
        </w:rPr>
        <w:t>ii</w:t>
      </w:r>
      <w:r w:rsidR="00453AE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masat e rënda</w:t>
      </w:r>
      <w:r w:rsidR="00453AE5" w:rsidRPr="00BE1029">
        <w:rPr>
          <w:rFonts w:ascii="Garamond" w:hAnsi="Garamond" w:cs="Times New Roman"/>
          <w:color w:val="000000"/>
          <w:sz w:val="24"/>
          <w:szCs w:val="24"/>
          <w:lang w:val="sq-AL"/>
        </w:rPr>
        <w:t xml:space="preserve">; dhe </w:t>
      </w:r>
      <w:r w:rsidRPr="00BE1029">
        <w:rPr>
          <w:rFonts w:ascii="Garamond" w:hAnsi="Garamond" w:cs="Times New Roman"/>
          <w:color w:val="000000"/>
          <w:sz w:val="24"/>
          <w:szCs w:val="24"/>
          <w:lang w:val="sq-AL"/>
        </w:rPr>
        <w:t>iii</w:t>
      </w:r>
      <w:r w:rsidR="00453AE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masat shumë të rënda. Sipas gjykatës, </w:t>
      </w:r>
      <w:r w:rsidR="00453AE5"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33(6) i vitit 2008 në ligjin për </w:t>
      </w:r>
      <w:r w:rsidR="00A60C26" w:rsidRPr="00BE1029">
        <w:rPr>
          <w:rFonts w:ascii="Garamond" w:hAnsi="Garamond" w:cs="Times New Roman"/>
          <w:color w:val="000000"/>
          <w:sz w:val="24"/>
          <w:szCs w:val="24"/>
          <w:lang w:val="sq-AL"/>
        </w:rPr>
        <w:t xml:space="preserve">pushtetin gjyqësor parashikonte, </w:t>
      </w:r>
      <w:r w:rsidRPr="00BE1029">
        <w:rPr>
          <w:rFonts w:ascii="Garamond" w:hAnsi="Garamond" w:cs="Times New Roman"/>
          <w:color w:val="000000"/>
          <w:sz w:val="24"/>
          <w:szCs w:val="24"/>
          <w:lang w:val="sq-AL"/>
        </w:rPr>
        <w:t xml:space="preserve">se të gjitha masat disiplinore </w:t>
      </w:r>
      <w:r w:rsidRPr="00BE1029">
        <w:rPr>
          <w:rFonts w:ascii="Garamond" w:hAnsi="Garamond" w:cs="Times New Roman"/>
          <w:i/>
          <w:iCs/>
          <w:color w:val="000000"/>
          <w:sz w:val="24"/>
          <w:szCs w:val="24"/>
          <w:lang w:val="sq-AL"/>
        </w:rPr>
        <w:t xml:space="preserve">më pak të rënda </w:t>
      </w:r>
      <w:r w:rsidRPr="00BE1029">
        <w:rPr>
          <w:rFonts w:ascii="Garamond" w:hAnsi="Garamond" w:cs="Times New Roman"/>
          <w:color w:val="000000"/>
          <w:sz w:val="24"/>
          <w:szCs w:val="24"/>
          <w:lang w:val="sq-AL"/>
        </w:rPr>
        <w:t xml:space="preserve">dhe </w:t>
      </w:r>
      <w:r w:rsidRPr="00BE1029">
        <w:rPr>
          <w:rFonts w:ascii="Garamond" w:hAnsi="Garamond" w:cs="Times New Roman"/>
          <w:i/>
          <w:iCs/>
          <w:color w:val="000000"/>
          <w:sz w:val="24"/>
          <w:szCs w:val="24"/>
          <w:lang w:val="sq-AL"/>
        </w:rPr>
        <w:t>të rënda</w:t>
      </w:r>
      <w:r w:rsidRPr="00BE1029">
        <w:rPr>
          <w:rFonts w:ascii="Garamond" w:hAnsi="Garamond" w:cs="Times New Roman"/>
          <w:color w:val="000000"/>
          <w:sz w:val="24"/>
          <w:szCs w:val="24"/>
          <w:lang w:val="sq-AL"/>
        </w:rPr>
        <w:t xml:space="preserve"> do të fshiheshin nga të dhënat pas përfundimit të afateve kohore përkatëse; megjithatë, neni nuk parashikonte fshirjen e masave disiplinore </w:t>
      </w:r>
      <w:r w:rsidRPr="00BE1029">
        <w:rPr>
          <w:rFonts w:ascii="Garamond" w:hAnsi="Garamond" w:cs="Times New Roman"/>
          <w:i/>
          <w:iCs/>
          <w:color w:val="000000"/>
          <w:sz w:val="24"/>
          <w:szCs w:val="24"/>
          <w:lang w:val="sq-AL"/>
        </w:rPr>
        <w:t>shumë të rënda</w:t>
      </w:r>
      <w:r w:rsidRPr="00BE1029">
        <w:rPr>
          <w:rFonts w:ascii="Garamond" w:hAnsi="Garamond" w:cs="Times New Roman"/>
          <w:color w:val="000000"/>
          <w:sz w:val="24"/>
          <w:szCs w:val="24"/>
          <w:lang w:val="sq-AL"/>
        </w:rPr>
        <w:t xml:space="preserve">, të tilla si shkarkimi nga detyra. Gjithashtu, gjykata citonte </w:t>
      </w:r>
      <w:r w:rsidR="00453AE5"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150 § 3 të </w:t>
      </w:r>
      <w:r w:rsidR="00A60C26" w:rsidRPr="00BE1029">
        <w:rPr>
          <w:rFonts w:ascii="Garamond" w:hAnsi="Garamond" w:cs="Times New Roman"/>
          <w:color w:val="000000"/>
          <w:sz w:val="24"/>
          <w:szCs w:val="24"/>
          <w:lang w:val="sq-AL"/>
        </w:rPr>
        <w:t xml:space="preserve">ligjit për statusin </w:t>
      </w:r>
      <w:r w:rsidRPr="00BE1029">
        <w:rPr>
          <w:rFonts w:ascii="Garamond" w:hAnsi="Garamond" w:cs="Times New Roman"/>
          <w:color w:val="000000"/>
          <w:sz w:val="24"/>
          <w:szCs w:val="24"/>
          <w:lang w:val="sq-AL"/>
        </w:rPr>
        <w:t>e Gjyqtarëve dhe të Prokurorëve (</w:t>
      </w:r>
      <w:r w:rsidR="00A60C26"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t xml:space="preserve">nr. 96/2016, i ndryshuar – shih paragrafin 54 më poshtë), i cili e trajtonte çështjen pas shfuqizimit të </w:t>
      </w:r>
      <w:r w:rsidR="00A60C26" w:rsidRPr="00BE1029">
        <w:rPr>
          <w:rFonts w:ascii="Garamond" w:hAnsi="Garamond" w:cs="Times New Roman"/>
          <w:color w:val="000000"/>
          <w:sz w:val="24"/>
          <w:szCs w:val="24"/>
          <w:lang w:val="sq-AL"/>
        </w:rPr>
        <w:t xml:space="preserve">ligjit për pushtetin gjyqësor </w:t>
      </w:r>
      <w:r w:rsidRPr="00BE1029">
        <w:rPr>
          <w:rFonts w:ascii="Garamond" w:hAnsi="Garamond" w:cs="Times New Roman"/>
          <w:color w:val="000000"/>
          <w:sz w:val="24"/>
          <w:szCs w:val="24"/>
          <w:lang w:val="sq-AL"/>
        </w:rPr>
        <w:t xml:space="preserve">të vitit 2008, duke parashikuar se masa disiplinore e shkarkimit nga detyra nuk mund të fshihej nga të dhënat e një gjyqtari. Për këtë arsye, gjykata arriti në përfundimin se masa disiplinore e vitit 1997 kundër L.D. nuk ishte fshirë nga të dhënat e tij. </w:t>
      </w:r>
    </w:p>
    <w:p w14:paraId="3821CD00" w14:textId="7E63C09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23. Së fundmi,</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gjykata pohon edhe se L.D.</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do të ishte skualifikuar nga emërimi si gjyqtar i KPA-së, nëse shkarkimi i tij nga detyra në vitin 1997 do t’i ishte bërë i ditur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w:t>
      </w:r>
    </w:p>
    <w:p w14:paraId="5263A318" w14:textId="184600C4"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Vendimi i shkallës së dytë</w:t>
      </w:r>
    </w:p>
    <w:p w14:paraId="3E5A3BF5" w14:textId="2111EBA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24. Pas apelimit të paraqitur nga L.D., më 8 </w:t>
      </w:r>
      <w:r w:rsidR="00A60C26" w:rsidRPr="00BE1029">
        <w:rPr>
          <w:rFonts w:ascii="Garamond" w:hAnsi="Garamond" w:cs="Times New Roman"/>
          <w:color w:val="000000"/>
          <w:sz w:val="24"/>
          <w:szCs w:val="24"/>
          <w:lang w:val="sq-AL"/>
        </w:rPr>
        <w:t xml:space="preserve">mars </w:t>
      </w:r>
      <w:r w:rsidRPr="00BE1029">
        <w:rPr>
          <w:rFonts w:ascii="Garamond" w:hAnsi="Garamond" w:cs="Times New Roman"/>
          <w:color w:val="000000"/>
          <w:sz w:val="24"/>
          <w:szCs w:val="24"/>
          <w:lang w:val="sq-AL"/>
        </w:rPr>
        <w:t xml:space="preserve">2021, Gjykata e Apelit për Korrupsionin dhe Krimin e Organizuar la në fuqi vendimin e shkallës së parë, duke përsëritur në thelb të njëjtat arsye. </w:t>
      </w:r>
    </w:p>
    <w:p w14:paraId="26BAF7D4" w14:textId="478A393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25. Gjykata e Apelit përsëriti në veçanti</w:t>
      </w:r>
      <w:r w:rsidR="00A60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6DC240FA" w14:textId="5EBC498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“Përmbajt</w:t>
      </w:r>
      <w:r w:rsidR="00483C4A" w:rsidRPr="00BE1029">
        <w:rPr>
          <w:rFonts w:ascii="Garamond" w:hAnsi="Garamond" w:cs="Times New Roman"/>
          <w:color w:val="000000"/>
          <w:sz w:val="24"/>
          <w:szCs w:val="24"/>
          <w:lang w:val="sq-AL"/>
        </w:rPr>
        <w:t>ja e kërkesës [paraqitur nga L.</w:t>
      </w:r>
      <w:r w:rsidRPr="00BE1029">
        <w:rPr>
          <w:rFonts w:ascii="Garamond" w:hAnsi="Garamond" w:cs="Times New Roman"/>
          <w:color w:val="000000"/>
          <w:sz w:val="24"/>
          <w:szCs w:val="24"/>
          <w:lang w:val="sq-AL"/>
        </w:rPr>
        <w:t xml:space="preserve">D. për një pozicion në KPA] në këtë çështje është e rëndësishme dhe ka pasoja, pasi mospërmbushja e kritereve formale të parashikuara [në </w:t>
      </w:r>
      <w:r w:rsidR="00483C4A"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të </w:t>
      </w:r>
      <w:r w:rsidR="00483C4A"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të </w:t>
      </w:r>
      <w:r w:rsidR="00483C4A"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çon në skualifikimin e kandidatit/aplikantit. Ky rregull demonstron rëndësinë që ligjbërësi u ka veshur këtyre kritereve, të cilat kanë lidhje me cilësitë personale që duhet të ketë një aplikues/kandidat për t’u emëruar në institucionet [që mbikëqyrin] rivlerësimin kalimtar të gjyqtarëve dhe të prokurorëve. Këto cilësi/kritere, [që] parashikohen me ligj, janë të rëndësishme kur citohen përpara një institucioni publik – veçanërisht në çështjen konkrete, ku i gjithë procesi i rivlerësimit kalimtar të gjyqtarëve dhe të prokurorëve lidhet në mënyrë të drejtpërdrejtë me besimin publik në [sistemin] e drejtësisë (që është qëllimi për krijimin e këtyre institucioneve).”</w:t>
      </w:r>
      <w:r w:rsidR="00DD4088" w:rsidRPr="00BE1029">
        <w:rPr>
          <w:rFonts w:ascii="Garamond" w:hAnsi="Garamond" w:cs="Times New Roman"/>
          <w:color w:val="000000"/>
          <w:sz w:val="24"/>
          <w:szCs w:val="24"/>
          <w:lang w:val="sq-AL"/>
        </w:rPr>
        <w:t>.</w:t>
      </w:r>
    </w:p>
    <w:p w14:paraId="5043A32A" w14:textId="1AA65EA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26. Gjithashtu, Gjykata e Apelit vlerësoi</w:t>
      </w:r>
      <w:r w:rsidR="00772337"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4DD77546" w14:textId="6C7C47E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fakti që organet e fuqizuara me ligj për kontrollin e kandidatëve për në institucionet kalimtare të rivlerësimit të gjyqtarëve dhe të prokurorëve nuk kanë kryer kontrollet përkatëse</w:t>
      </w:r>
      <w:r w:rsidR="00C612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përputhje me kërkesat ligjore [...], nuk përjashton përgjegjësinë e të pandehurit, i cili, në mënyrë të qëllimshme dhe me dijeni të plotë ka paraqitur në aplikimin e tij një rrethanë false, duke fshehur [në këtë mënyrë] një kusht skualifikues lidhur me ekzistencën e një mase disiplinore për heqje/shkarkim nga detyra të vendosur ndaj tij.”</w:t>
      </w:r>
    </w:p>
    <w:p w14:paraId="62FC4CC4" w14:textId="14CBBB3A"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3. Vendimi i Gjykatës së Lartë </w:t>
      </w:r>
    </w:p>
    <w:p w14:paraId="6DEF3A17" w14:textId="5CE67DA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27. Më 26 </w:t>
      </w:r>
      <w:r w:rsidR="00FD6043" w:rsidRPr="00BE1029">
        <w:rPr>
          <w:rFonts w:ascii="Garamond" w:hAnsi="Garamond" w:cs="Times New Roman"/>
          <w:color w:val="000000"/>
          <w:sz w:val="24"/>
          <w:szCs w:val="24"/>
          <w:lang w:val="sq-AL"/>
        </w:rPr>
        <w:t xml:space="preserve">tetor </w:t>
      </w:r>
      <w:r w:rsidRPr="00BE1029">
        <w:rPr>
          <w:rFonts w:ascii="Garamond" w:hAnsi="Garamond" w:cs="Times New Roman"/>
          <w:color w:val="000000"/>
          <w:sz w:val="24"/>
          <w:szCs w:val="24"/>
          <w:lang w:val="sq-AL"/>
        </w:rPr>
        <w:t xml:space="preserve">2021, Gjykata e Lartë e rrëzoi si të papranueshëm apelimin e paraqitur nga L.D., dhe në thelb la në fuqi arsyetimin dhe përfundimet e gjykatave më të ulëta. </w:t>
      </w:r>
    </w:p>
    <w:p w14:paraId="0D9464B7" w14:textId="76DE422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28. Gjykata e Lartë vlerësoi se një shkarkim i mëparshëm nga detyra e skualifikonte një kandidat nga mbajtja e funksioneve të caktuara publike, dhe konfirmoi se masat disiplinore për shkeljet shumë të rënda nuk fshiheshin nga të dhënat e një gjyqtari me kalimin e kohës. Në vijim, gjykata konstatoi</w:t>
      </w:r>
      <w:r w:rsidR="00C612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w:t>
      </w:r>
      <w:r w:rsidR="00BB6ABE" w:rsidRPr="00BE1029">
        <w:rPr>
          <w:rFonts w:ascii="Garamond" w:hAnsi="Garamond" w:cs="Times New Roman"/>
          <w:color w:val="000000"/>
          <w:sz w:val="24"/>
          <w:szCs w:val="24"/>
          <w:lang w:val="sq-AL"/>
        </w:rPr>
        <w:t xml:space="preserve"> </w:t>
      </w:r>
    </w:p>
    <w:p w14:paraId="10E88ABD" w14:textId="5B79993A" w:rsidR="00A43DB1" w:rsidRPr="00BE1029" w:rsidRDefault="002830B3"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“69... [L.</w:t>
      </w:r>
      <w:r w:rsidR="00A43DB1" w:rsidRPr="00BE1029">
        <w:rPr>
          <w:rFonts w:ascii="Garamond" w:hAnsi="Garamond" w:cs="Times New Roman"/>
          <w:color w:val="000000"/>
          <w:sz w:val="24"/>
          <w:szCs w:val="24"/>
          <w:lang w:val="sq-AL"/>
        </w:rPr>
        <w:t xml:space="preserve">D.] ka ofruar qëllimisht informacione false në aplikimin e tij për pozicionin e gjyqtarit në Kolegjin e Posaçëm të Apelimit, pozicion për të cilin [sipas vlerësimit] u kualifikua dhe [më pas] u emërua, pikërisht për shkak të informacioneve të pavërteta që kishte paraqitur në formularin e aplikimit. Nëse kërkuesi [L.D.] do të kishte paraqitur në aplikimin e tij edhe shkarkimin e tij nga detyra në vitin 1997, ai do të kishte rrezikuar të skualifikohej sipas ligjit [që të merrej në konsideratë] për pozicionet [në organet e </w:t>
      </w:r>
      <w:r w:rsidR="00A43DB1" w:rsidRPr="00BE1029">
        <w:rPr>
          <w:rFonts w:ascii="Garamond" w:hAnsi="Garamond" w:cs="Times New Roman"/>
          <w:i/>
          <w:iCs/>
          <w:color w:val="000000"/>
          <w:sz w:val="24"/>
          <w:szCs w:val="24"/>
          <w:lang w:val="sq-AL"/>
        </w:rPr>
        <w:t>vetting</w:t>
      </w:r>
      <w:r w:rsidR="00A43DB1" w:rsidRPr="00BE1029">
        <w:rPr>
          <w:rFonts w:ascii="Garamond" w:hAnsi="Garamond" w:cs="Times New Roman"/>
          <w:color w:val="000000"/>
          <w:sz w:val="24"/>
          <w:szCs w:val="24"/>
          <w:lang w:val="sq-AL"/>
        </w:rPr>
        <w:t xml:space="preserve">-ut]. </w:t>
      </w:r>
    </w:p>
    <w:p w14:paraId="7A5C37FF" w14:textId="39FEAC5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70. Mosverifikimi nga ana e organeve përkatëse, në mbështetje të </w:t>
      </w:r>
      <w:r w:rsidR="002830B3"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nr. 84/2016</w:t>
      </w:r>
      <w:r w:rsidR="00F83E31"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 i kushteve që duhej të përmbusheshin nga kandidatët për pozicionet në organet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nuk e përjashton kërkuesin nga përgjegjësia për deklarimin e informacioneve të pavërteta në aplikimin e tij.”</w:t>
      </w:r>
      <w:r w:rsidR="00624A83" w:rsidRPr="00BE1029">
        <w:rPr>
          <w:rFonts w:ascii="Garamond" w:hAnsi="Garamond" w:cs="Times New Roman"/>
          <w:color w:val="000000"/>
          <w:sz w:val="24"/>
          <w:szCs w:val="24"/>
          <w:lang w:val="sq-AL"/>
        </w:rPr>
        <w:t>.</w:t>
      </w:r>
    </w:p>
    <w:p w14:paraId="44E24CE4" w14:textId="7A26682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29. Në vijim, Gjykata e Lartë deklaronte</w:t>
      </w:r>
      <w:r w:rsidR="00624A8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53AA9A20" w14:textId="2D9AB83B" w:rsidR="00A43DB1" w:rsidRPr="00BE1029" w:rsidRDefault="00A43DB1" w:rsidP="00671A0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“78. Është e kuptueshme se </w:t>
      </w:r>
      <w:r w:rsidR="00624A83" w:rsidRPr="00BE1029">
        <w:rPr>
          <w:rFonts w:ascii="Garamond" w:hAnsi="Garamond" w:cs="Times New Roman"/>
          <w:color w:val="000000"/>
          <w:sz w:val="24"/>
          <w:szCs w:val="24"/>
          <w:lang w:val="sq-AL"/>
        </w:rPr>
        <w:t xml:space="preserve">ligji për rivlerësimin kalimtar të gjyqtarëve dhe të prokurorëve </w:t>
      </w:r>
      <w:r w:rsidRPr="00BE1029">
        <w:rPr>
          <w:rFonts w:ascii="Garamond" w:hAnsi="Garamond" w:cs="Times New Roman"/>
          <w:color w:val="000000"/>
          <w:sz w:val="24"/>
          <w:szCs w:val="24"/>
          <w:lang w:val="sq-AL"/>
        </w:rPr>
        <w:t xml:space="preserve">... në përcaktimin e kritereve të parashikuara në </w:t>
      </w:r>
      <w:r w:rsidR="00671A09"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6, synonte të emëronte ... në institucionet e rivlerësimit [njerëz] të cilët gëzonin moral dhe integritet profesional të lartë.”</w:t>
      </w:r>
      <w:r w:rsidR="00624A83" w:rsidRPr="00BE1029">
        <w:rPr>
          <w:rFonts w:ascii="Garamond" w:hAnsi="Garamond" w:cs="Times New Roman"/>
          <w:color w:val="000000"/>
          <w:sz w:val="24"/>
          <w:szCs w:val="24"/>
          <w:lang w:val="sq-AL"/>
        </w:rPr>
        <w:t>.</w:t>
      </w:r>
    </w:p>
    <w:p w14:paraId="1B904C0C" w14:textId="7629EF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30. Një gjyqtar shtoi një opinion mospajtues, i cili argumentonte se aplikimi i L.D. për pozicionin e gjyqtarit në KPA ishte thjesht një dokument privat, i cili nuk mund të ishte objekt i falsifikimit; më tej ai parashtroi se, në çdo rast, mbrojtja e L.D. se ai kishte besuar se masa disiplinore ishte fshirë nga të dhënat e tij ishte e argumentueshme, dhe për këtë arsye, nga rrethanat e çështjes nuk mund të konkludohej për ndonjë qëllim kriminal. </w:t>
      </w:r>
    </w:p>
    <w:p w14:paraId="09C23BD5" w14:textId="239A6CB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31. Në opinionin e gjyqtarit kundërshtues, gjykatat penale nuk ishin kompetente për të bërë një përcaktim përfundimtar se shkarkimi nga detyra i L.D. në vitin 1997 e skulaifikonte atë nga mundësia që të mbante pozicionin e gjyqtarit në KPA; për më tepër, edhe nëse supozohej se shkarkimi i vitit 1997 e kishte skualifikuar L.D., emërimi i tij si gjyqtar i KPA-së ishte bërë i mundur vetëm fal mosverifikimit nga ana e Avokatit të Popullit dhe e Parlamentit</w:t>
      </w:r>
      <w:r w:rsidR="00671A0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ai i kishte përmbushur kriteret përkatëse (dhe jo fal aplikimit që L.D. kishte paraqitur pranë Avokatit të Popullit). </w:t>
      </w:r>
    </w:p>
    <w:p w14:paraId="2FE60536" w14:textId="60D2DB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PROCEDURAT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NË LIDHJE ME KËRKUESIN</w:t>
      </w:r>
    </w:p>
    <w:p w14:paraId="35075CF9" w14:textId="717831D9"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A. Procedurat në Komisionin e Pavarur të Kualifikimit</w:t>
      </w:r>
    </w:p>
    <w:p w14:paraId="20302219" w14:textId="4426A3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32. Në vitin 2003, kërkuesi u emërua në detyrën e prokurorit. Me hyrjen në fuqi të </w:t>
      </w:r>
      <w:r w:rsidR="00671A09"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të </w:t>
      </w:r>
      <w:r w:rsidR="00671A09"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w:t>
      </w:r>
      <w:r w:rsidR="00671A09" w:rsidRPr="00BE1029">
        <w:rPr>
          <w:rFonts w:ascii="Garamond" w:hAnsi="Garamond" w:cs="Times New Roman"/>
          <w:color w:val="000000"/>
          <w:sz w:val="24"/>
          <w:szCs w:val="24"/>
          <w:lang w:val="sq-AL"/>
        </w:rPr>
        <w:t xml:space="preserve">rivlerësimit </w:t>
      </w:r>
      <w:r w:rsidRPr="00BE1029">
        <w:rPr>
          <w:rFonts w:ascii="Garamond" w:hAnsi="Garamond" w:cs="Times New Roman"/>
          <w:color w:val="000000"/>
          <w:sz w:val="24"/>
          <w:szCs w:val="24"/>
          <w:lang w:val="sq-AL"/>
        </w:rPr>
        <w:t>në vitin 2016 dhe pas emërimit të tij si anëtar i organit drejtues të prokurorisë (më konkretisht, Këshilli i Lartë i Prokurorisë), kërkuesi u vendos në listën e personave që do të rivlerësoheshin/v</w:t>
      </w:r>
      <w:r w:rsidR="00671A09" w:rsidRPr="00BE1029">
        <w:rPr>
          <w:rFonts w:ascii="Garamond" w:hAnsi="Garamond" w:cs="Times New Roman"/>
          <w:color w:val="000000"/>
          <w:sz w:val="24"/>
          <w:szCs w:val="24"/>
          <w:lang w:val="sq-AL"/>
        </w:rPr>
        <w:t>et</w:t>
      </w:r>
      <w:r w:rsidRPr="00BE1029">
        <w:rPr>
          <w:rFonts w:ascii="Garamond" w:hAnsi="Garamond" w:cs="Times New Roman"/>
          <w:color w:val="000000"/>
          <w:sz w:val="24"/>
          <w:szCs w:val="24"/>
          <w:lang w:val="sq-AL"/>
        </w:rPr>
        <w:t xml:space="preserve">oheshin me prioritet. </w:t>
      </w:r>
    </w:p>
    <w:p w14:paraId="7198EE1F" w14:textId="1388CEE1" w:rsidR="00A43DB1" w:rsidRPr="00BE1029" w:rsidRDefault="00A43DB1" w:rsidP="005F7E5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33. Më 27 </w:t>
      </w:r>
      <w:r w:rsidR="004257FB"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 xml:space="preserve">2018, KPK-ja konfirmoi kërkuesin në detyrën e tij. KPK-ja konstatoi se kërkuesi nuk kishte fshehur pasurinë: Komisioni faktikisht, gjeti një numër pasaktësish në deklaratat e tij të përvitshme të pasurisë, dhe kërkuesi nuk mund të demonstronte burimin e ligjshëm të shumave të ndryshme që në total ishin 819,812 lekë shqiptarë (ALL – rreth 6800 euro (EUR)), që i kishte marrë gjatë një periudhe njëmbëdhjetëvjeçare; megjithatë, në gjykimin e KPK-së, përmasa e atyre shumave ishte e pamjaftueshme për të justifikuar përjashtimin e tij. Gjithashtu, KPK-ja arriti në përfundimin se kërkuesi nuk kishte pasur kontakte të papërshtatshme me individë të përfshirë në krimin e organizuar dhe se nuk ishte konstatuar asnjë çështje problematike gjatë kontrollit të figurës së tij. Së fundmi, KPK-ja konstatoi se kishte disa rrethana që vinin në pikëpyetje profesionalizmin dhe etikën e kërkuesit; megjithatë, ato rrethana nuk përbënin shkaqe të mjaftueshme për të arritur në përfundimin se kërkuesi nuk përmbushte standardet minimale profesionale ose të etikës. Në </w:t>
      </w:r>
      <w:r w:rsidRPr="00BE1029">
        <w:rPr>
          <w:rFonts w:ascii="Garamond" w:hAnsi="Garamond" w:cs="Times New Roman"/>
          <w:color w:val="000000"/>
          <w:sz w:val="24"/>
          <w:szCs w:val="24"/>
          <w:lang w:val="sq-AL"/>
        </w:rPr>
        <w:lastRenderedPageBreak/>
        <w:t xml:space="preserve">përputhje me rrethanat, KPK-ja i referoi ato çështje pranë organit përgjegjës për shkelje disiplinore, për verifikim të mëtejshëm. </w:t>
      </w:r>
    </w:p>
    <w:p w14:paraId="12F421B0" w14:textId="114C6F0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34. Pas apelimit nga ana e Komisionerit Publik kundër vendimit të KPK-së, çështja iu kalua KPA-së, e cila u mblodh si një trup gjykues i përbërë nga pesë gjyqtarë (duke përfshirë edhe L.D.). </w:t>
      </w:r>
    </w:p>
    <w:p w14:paraId="01680CFA" w14:textId="76F43B25"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B. Procedurat përpara KPA-së</w:t>
      </w:r>
    </w:p>
    <w:p w14:paraId="4FCA0FE2" w14:textId="4A82970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35. Më 17 </w:t>
      </w:r>
      <w:r w:rsidR="005F7E50"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2020, kërkuesi – me pretendimin, ndër të tjera, se L.D. ishte emëruar në KPA pavarësisht faktit se nuk kishte përmbushur kërkesat statutore të përzgjedhshmërisë (shih paragrafin 8 më sipër dhe paragrafin 50 më poshtë) – paraqiti kërkesën</w:t>
      </w:r>
      <w:r w:rsidR="005F7E50"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KPA</w:t>
      </w:r>
      <w:r w:rsidR="005F7E50"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ta ndërpriste përfundimisht mandatin e L.D. (“kërkesa e parë”). Në po të njëjtën datë, kërkuesi paraqiti një padi penale kundër L.D. me pretendimin për falsifikim dokumentesh (shih paragrafin 15 më sipër). Më 3 </w:t>
      </w:r>
      <w:r w:rsidR="00FB6A55"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kryetari i KPA-së iu përgjigj ankuesit me anë të një letre</w:t>
      </w:r>
      <w:r w:rsidR="00FB6A5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ku theksohej se KPA</w:t>
      </w:r>
      <w:r w:rsidR="00FB6A55"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juridiksionin për shqyrtimin e kërkesës për sa kishte të bënte me zhvillimet që kishin ndodhur përpara emërimit të L.D. si gjyqtar i KPA (</w:t>
      </w:r>
      <w:r w:rsidRPr="00BE1029">
        <w:rPr>
          <w:rFonts w:ascii="Garamond" w:hAnsi="Garamond" w:cs="Times New Roman"/>
          <w:i/>
          <w:iCs/>
          <w:color w:val="000000"/>
          <w:sz w:val="24"/>
          <w:szCs w:val="24"/>
          <w:lang w:val="sq-AL"/>
        </w:rPr>
        <w:t>nuk ka kompetencë dhe juridiksionin për shqyrtimin e kërkesës suaj ... pasi pretendimet tuaja i përkasin periudhës përpara emërimit të [L.D.] në funksionin e anëtarit të Kolegjit</w:t>
      </w:r>
      <w:r w:rsidRPr="00BE1029">
        <w:rPr>
          <w:rFonts w:ascii="Garamond" w:hAnsi="Garamond" w:cs="Times New Roman"/>
          <w:color w:val="000000"/>
          <w:sz w:val="24"/>
          <w:szCs w:val="24"/>
          <w:lang w:val="sq-AL"/>
        </w:rPr>
        <w:t xml:space="preserve">). </w:t>
      </w:r>
    </w:p>
    <w:p w14:paraId="15D031A6" w14:textId="1C1A05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36. Sakaq, më 20 </w:t>
      </w:r>
      <w:r w:rsidR="00FB6A55"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 xml:space="preserve">2020, kërkuesi paraqiti një tjetër kërkesë pranë KPA-së në mbështetje të të njëjtave fakte dhe argumente mbi të cilat ishte mbështetur edhe kërkesa e parë, ku kërkonte përjashtimin e L.D. nga trupi gjykues që do të shqyrtonte çështjen e tij (“kërkesa e dytë”). Gjithashtu, kërkuesi theksoi se si rezultat i padisë së tij kundër L.D. (shih paragrafin 15 më sipër), ky i fundit nuk do të kishte paanshmëri në dëgjimin e çështjes së kërkuesit. Më 5 </w:t>
      </w:r>
      <w:r w:rsidR="00FB6A55"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KPA</w:t>
      </w:r>
      <w:r w:rsidR="00FB6A55"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e mbledhur si një trup tjetër gjykuese krahasuar me trupën e cila shqyrtoi meritat e procesit të rivlerësimit të kërkuesit, e rrëzoi kërkesën e dytë me të njëjtat arsye si ato të paraqitura në paragrafin e mëparshëm – më konkretisht, se KPA</w:t>
      </w:r>
      <w:r w:rsidR="007E137F"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juridiksionin të shqyrtonte kërkesën për sa kishte të bënte me zhvillimet që kishin ndodhur përpara emërimit të anëtarëve të KPA-së. Gjithashtu, ajo arriti në përfundimin se padia penale e kërkuesit kundër L.D. nuk ndikonte në paanshmërinë e tij për të dëgjuar çështjen. </w:t>
      </w:r>
    </w:p>
    <w:p w14:paraId="6F0D75AF" w14:textId="5717D68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37. Më 7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kërkuesi paraqiti një ankesë pranë Gjykatës Kushtetuese ku kër</w:t>
      </w:r>
      <w:r w:rsidR="007E137F" w:rsidRPr="00BE1029">
        <w:rPr>
          <w:rFonts w:ascii="Garamond" w:hAnsi="Garamond" w:cs="Times New Roman"/>
          <w:color w:val="000000"/>
          <w:sz w:val="24"/>
          <w:szCs w:val="24"/>
          <w:lang w:val="sq-AL"/>
        </w:rPr>
        <w:t>konte që gjykata ta shpallte jo</w:t>
      </w:r>
      <w:r w:rsidRPr="00BE1029">
        <w:rPr>
          <w:rFonts w:ascii="Garamond" w:hAnsi="Garamond" w:cs="Times New Roman"/>
          <w:color w:val="000000"/>
          <w:sz w:val="24"/>
          <w:szCs w:val="24"/>
          <w:lang w:val="sq-AL"/>
        </w:rPr>
        <w:t>kushtetues vendimin e Parlamentit</w:t>
      </w:r>
      <w:r w:rsidR="007E137F"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së cilit L.D. emërohej në KPA (shih paragrafin 14 më sipër), pasi L.D. nuk përmbushte kriteret përkatëse për përzgjedhjen e tij në detyrë. </w:t>
      </w:r>
    </w:p>
    <w:p w14:paraId="7268A63E" w14:textId="2A3E462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38. Në vijim, në një seancë dëgjimore me dyer të hapura, më 11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përpara KPA-së, kërkuesi kërkoi që të ndërpriteshin procedurat e rivlerësimit ndaj tij deri në momentin kur Gjykata Kushtetuese të jepte një vendim për ankesën e tij dhe deri në momentin kur të përfundonin procedurat penale ndaj L.D. (të cilat në atë periudhë ishin në vijimësi). KPA-ja e refuzoi kërkesën. </w:t>
      </w:r>
    </w:p>
    <w:p w14:paraId="33BE997A" w14:textId="16134A4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39. Më 27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KPA-ja, pasi mori në shqyrtim parashtrimet</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me shkrim të palëve dhe pasi bëri një rivlerësim të ri të provave në dosjen e çështjes, e rrëzoi vendimin e KPK-së dhe e shkarkoi kërkuesin nga detyra me efekt të menjëhershëm. KPA-ja vlerësonte se, mbështetur në një “analizë financiare” të kryer prej saj, kërkuesi kishte bërë një deklaratë të pasaktë dhe të pamjaftueshme të pasurisë që i përkiste atij dhe personave të lidhur me të. Në vijim, KPA-ja konstatonte se për shkak të një marrëveshjeje tregtare të lidhur midis kërkuesit dhe një kompanie nafte, kishte pasur një konflikt interesi në pozicionin e tij si prokuror në detyrë, gjë që dëmtonte besimin e publikut në sistemin e drejtësisë. </w:t>
      </w:r>
    </w:p>
    <w:p w14:paraId="3212A806" w14:textId="2C1084B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40. Dy gjyqtarë dhanë një opinion dakordësues me vendimin e KPA-së, duke argumentuar se ata nuk binin dakord me peshën që i kishte dhënë shumica deklaratave të pasakta të kërkuesit</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një makinë dhe një garazh që ai i kishte blerë gjatë karrierës së tij. </w:t>
      </w:r>
    </w:p>
    <w:p w14:paraId="68C71326" w14:textId="4BE3F80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 xml:space="preserve">C. Vendimi i Gjykatës Kushtetuese </w:t>
      </w:r>
    </w:p>
    <w:p w14:paraId="200365A3" w14:textId="50BC9A2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41. Si përgjigje ndaj kërkesës së ankuesit (shih paragrafin 37 më sipër), Gjykata Kushtetuese miratoi vendimin nr. 62 të datës 29 prill 2020, nëpërmjet së cilit e rrëzonte si të papranueshëm kundërshtimin e kërkuesit ndaj emërimit të L.D. në KPA. </w:t>
      </w:r>
    </w:p>
    <w:p w14:paraId="3D5ED6DC" w14:textId="44434655" w:rsidR="00A43DB1" w:rsidRPr="00BE1029" w:rsidRDefault="00A43DB1" w:rsidP="00BE102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42. Për sa kishte të bënte me faktin nëse ankesa mbështetej në paragrafin </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e</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w:t>
      </w:r>
      <w:r w:rsidR="00BE102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131 § 1 të Kushtetutës, i cili parashikonte juridiksionin e Gjykatës Kushtetuese për të verifikuar përzgjedhjen dhe emërimin e zyrtarëve në organet kushtetuese (shih paragrafin 45 më poshtë), gjykata vlerësoi se individët nuk kishin pozitën për të nisur një shqyrtim të tillë kushtetues. Në përputhje me rrethanat, ajo arriti në përfundimin se kundërshtimi i ankuesit ndaj emërimit të një anëtari të KPA-së nuk pajtohej </w:t>
      </w:r>
      <w:r w:rsidRPr="00BE1029">
        <w:rPr>
          <w:rFonts w:ascii="Garamond" w:hAnsi="Garamond" w:cs="Times New Roman"/>
          <w:i/>
          <w:iCs/>
          <w:color w:val="000000"/>
          <w:sz w:val="24"/>
          <w:szCs w:val="24"/>
          <w:lang w:val="sq-AL"/>
        </w:rPr>
        <w:t xml:space="preserve">rationae personae </w:t>
      </w:r>
      <w:r w:rsidRPr="00BE1029">
        <w:rPr>
          <w:rFonts w:ascii="Garamond" w:hAnsi="Garamond" w:cs="Times New Roman"/>
          <w:color w:val="000000"/>
          <w:sz w:val="24"/>
          <w:szCs w:val="24"/>
          <w:lang w:val="sq-AL"/>
        </w:rPr>
        <w:t xml:space="preserve">me Kushtetutën. </w:t>
      </w:r>
    </w:p>
    <w:p w14:paraId="7A659C0C" w14:textId="6ABCB6A8" w:rsidR="00A43DB1" w:rsidRPr="00BE1029" w:rsidRDefault="00A43DB1" w:rsidP="00BE102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43. Për sa kishte të bënte me ankesën e kërkuesit në mbështetje të paragrafit </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f</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w:t>
      </w:r>
      <w:r w:rsidR="003F28C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131 § 1 të Kushtetutës (po aty) se emërimi i L.D. në KPA në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shkelte të drejtën individuale të ankuesit për një “gjykatë të krijuar me ligj” gjatë procedurave të rivlerësimit, Gjykata Kushtetuese e rrëzoi ankesën, me arsyetimin e mëposhtëm: </w:t>
      </w:r>
    </w:p>
    <w:p w14:paraId="2720684E" w14:textId="3676A533" w:rsidR="00A43DB1" w:rsidRPr="00BE1029" w:rsidRDefault="00A43DB1" w:rsidP="00BE1029">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“20. Në çështjen konkrete, Kolegji [i Gjykatës Kushtetuese] vëren se ankuesi pretendon të jetë cenuar e drejta e tij për një gjykim të drejtë për shkak të një veprimi të ndërmarrë nga një autoritet publik përpara përfundimit të procedurave në KPA, dhe, për pasojë nuk ngre asnjë pretendim kundër rezultatit përfundimtar të procesit [të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Ai ka kundërshtuar </w:t>
      </w:r>
      <w:r w:rsid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emërimin [e L.D. në KPA] dhe [ka kërkuar] pavlefshmërinë e pjesshme të vendimit të Parlamentit që caktonte L.D. si anëtar të KPA-së. </w:t>
      </w:r>
    </w:p>
    <w:p w14:paraId="214E3A33"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21. Gjykata Kushtetuese ka theksuar se e drejta për një gjykim të drejtë, duke përfshirë ankesat në lidhje me gjykatën e krijuar me ligj, garantohet gjatë një procesi ligjor ose gjyqësor në funksion të rezultatit përfundimtar, i cili sjell pasoja konkrete dhe të drejtpërdrejta për ankuesit si mbajtës i të drejtave kushtetuese procedurale dhe thelbësore. Kolegji vlerëson se edhe në procesin e rivlerësimit kalimtar, në procesin gjyqësor të kryer nga Kolegji i Posaçëm i Apelimit duhet të garantohen të drejtat procedurale të subjekteve të rivlerësuar, në përputhje me kompetencat që përcaktohen nga Kushtetuta dhe ligji. </w:t>
      </w:r>
    </w:p>
    <w:p w14:paraId="511B8367"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278CEE32" w14:textId="00AC693A"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23. Për më tepër, Kolegji vëren se juridiksioni i Gjykatës Kushtetuese për shqyrtimin e ankimit individual kushtetues të kërkuesit, që lidhet me kryerjen e rivlerësimit kalimtar të tij</w:t>
      </w:r>
      <w:r w:rsid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detyrës së prokurorit, është i kufizuar nga juridiksioni që vetë Kushtetuta, në aneksin e saj, u ka dhënë organeve të rivlerësimit. Kështu, neni 179/b, pika 2, i Kushtetutës parashikon se procesi i rivlerësimit, që realizohet nga KPK-ja dhe KPA-ja, do të kryhet mbi bazën e parimeve të procesit të rregullt ligjor, si dhe duke respektuar të drejtat themelore të subjektit të vlerësimit.</w:t>
      </w:r>
    </w:p>
    <w:p w14:paraId="649ABD98" w14:textId="3495336D" w:rsidR="00A43DB1" w:rsidRPr="00BE1029" w:rsidRDefault="00BE1029"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1F684A5C" w14:textId="18537687" w:rsidR="00A43DB1" w:rsidRPr="00BE1029" w:rsidRDefault="00A43DB1" w:rsidP="00395588">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24. Kolegji thekson se të drejtat procedurale kushtetuese të subjekteve të rivlerësimit [</w:t>
      </w:r>
      <w:r w:rsidR="008A53C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duke përfshirë të drejtën për një “gjykatë të krijuar me ligj”, garantohen nga Kushtetuta, me anë të një procesi gjyqësor të kryer nga KPA</w:t>
      </w:r>
      <w:r w:rsidR="00E20086">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dhe më pas, me anë të mundësisë për të ushtruar të drejtën ankim në Gjykatën Evropiane të të Drejtave të Njeriut. Duke pasur parasysh pushtetin e KPA-së për të gjykuar apelimet kundër vendimeve të KPK-së, gjykata vlerëson se ky proces [apelimi] përfshin shqyrtimin e pajtueshmërisë së procedurave me Kushtetutën</w:t>
      </w:r>
      <w:r w:rsidR="00F34DF4">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w:t>
      </w:r>
    </w:p>
    <w:p w14:paraId="42AE6D37" w14:textId="785A926E"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KUADRI DHE PRAKTIKA PËRKATËSE LIGJORE </w:t>
      </w:r>
    </w:p>
    <w:p w14:paraId="062B0B4B" w14:textId="3C44BE11"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 LIGJI PËRKATËS </w:t>
      </w:r>
      <w:r w:rsidR="008A55FD" w:rsidRPr="00BE1029">
        <w:rPr>
          <w:rFonts w:ascii="Garamond" w:hAnsi="Garamond" w:cs="Times New Roman"/>
          <w:color w:val="000000"/>
          <w:sz w:val="24"/>
          <w:szCs w:val="24"/>
          <w:lang w:val="sq-AL"/>
        </w:rPr>
        <w:t>VENDËS</w:t>
      </w:r>
    </w:p>
    <w:p w14:paraId="5698C488" w14:textId="040D8C23"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Kushtetuta </w:t>
      </w:r>
    </w:p>
    <w:p w14:paraId="672ED9F4" w14:textId="7588C300"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44. Pjesët e </w:t>
      </w:r>
      <w:r w:rsidR="00151F95" w:rsidRPr="00BE1029">
        <w:rPr>
          <w:rFonts w:ascii="Garamond" w:hAnsi="Garamond" w:cs="Times New Roman"/>
          <w:color w:val="000000"/>
          <w:sz w:val="24"/>
          <w:szCs w:val="24"/>
          <w:lang w:val="sq-AL"/>
        </w:rPr>
        <w:t xml:space="preserve">neneve </w:t>
      </w:r>
      <w:r w:rsidRPr="00BE1029">
        <w:rPr>
          <w:rFonts w:ascii="Garamond" w:hAnsi="Garamond" w:cs="Times New Roman"/>
          <w:color w:val="000000"/>
          <w:sz w:val="24"/>
          <w:szCs w:val="24"/>
          <w:lang w:val="sq-AL"/>
        </w:rPr>
        <w:t xml:space="preserve">127 dhe 128 të Kushtetutës, të ndryshuar në vitin 2016, të cilat kanë lidhje me çështjen konkrete, parashikojnë si më poshtë: </w:t>
      </w:r>
    </w:p>
    <w:p w14:paraId="0B6C580F"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567AF8EF" w14:textId="77777777" w:rsidR="00A43DB1" w:rsidRDefault="00A43DB1" w:rsidP="00A43DB1">
      <w:pPr>
        <w:tabs>
          <w:tab w:val="left" w:pos="108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r w:rsidRPr="00151F95">
        <w:rPr>
          <w:rFonts w:ascii="Garamond" w:hAnsi="Garamond" w:cs="Times New Roman"/>
          <w:color w:val="000000"/>
          <w:sz w:val="24"/>
          <w:szCs w:val="24"/>
          <w:lang w:val="sq-AL"/>
        </w:rPr>
        <w:t>Neni 127</w:t>
      </w:r>
    </w:p>
    <w:p w14:paraId="1AADC2E6" w14:textId="77777777" w:rsidR="00151F95" w:rsidRPr="00151F95" w:rsidRDefault="00151F95" w:rsidP="00A43DB1">
      <w:pPr>
        <w:tabs>
          <w:tab w:val="left" w:pos="1080"/>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46ACDF96" w14:textId="171ABA9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 Mandati i gjyqtarit të Gjykatës Kushtetuese mbaron</w:t>
      </w:r>
      <w:r w:rsidR="00151F9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kur:</w:t>
      </w:r>
    </w:p>
    <w:p w14:paraId="710A5382" w14:textId="3F9CE07D" w:rsidR="00A43DB1" w:rsidRPr="00BE1029" w:rsidRDefault="00120F70"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12D0C744" w14:textId="50D53A10" w:rsidR="00A43DB1" w:rsidRPr="00BE1029" w:rsidRDefault="002177C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d)</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vërtetohen kushtet e</w:t>
      </w:r>
      <w:r w:rsidR="00A43DB1" w:rsidRPr="00BE1029">
        <w:rPr>
          <w:rFonts w:ascii="Garamond" w:hAnsi="Garamond" w:cs="Times New Roman"/>
          <w:color w:val="000000"/>
          <w:sz w:val="24"/>
          <w:szCs w:val="24"/>
          <w:lang w:val="sq-AL"/>
        </w:rPr>
        <w:t xml:space="preserve"> pazgjedhshmëris</w:t>
      </w:r>
      <w:r w:rsidRPr="00BE1029">
        <w:rPr>
          <w:rFonts w:ascii="Garamond" w:hAnsi="Garamond" w:cs="Times New Roman"/>
          <w:color w:val="000000"/>
          <w:sz w:val="24"/>
          <w:szCs w:val="24"/>
          <w:lang w:val="sq-AL"/>
        </w:rPr>
        <w:t xml:space="preserve">ë dhe të papajtueshmërisë në ushtrimin </w:t>
      </w:r>
      <w:r w:rsidR="00A43DB1" w:rsidRPr="00BE1029">
        <w:rPr>
          <w:rFonts w:ascii="Garamond" w:hAnsi="Garamond" w:cs="Times New Roman"/>
          <w:color w:val="000000"/>
          <w:sz w:val="24"/>
          <w:szCs w:val="24"/>
          <w:lang w:val="sq-AL"/>
        </w:rPr>
        <w:t>e funksionit;</w:t>
      </w:r>
    </w:p>
    <w:p w14:paraId="6E793DCA" w14:textId="609A82A9"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lastRenderedPageBreak/>
        <w:t>...</w:t>
      </w:r>
    </w:p>
    <w:p w14:paraId="3C44502A" w14:textId="77777777" w:rsidR="00A43DB1" w:rsidRPr="00DF7282" w:rsidRDefault="00A43DB1" w:rsidP="00A43DB1">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DF7282">
        <w:rPr>
          <w:rFonts w:ascii="Garamond" w:hAnsi="Garamond" w:cs="Times New Roman"/>
          <w:color w:val="000000"/>
          <w:sz w:val="24"/>
          <w:szCs w:val="24"/>
          <w:lang w:val="sq-AL"/>
        </w:rPr>
        <w:t>Neni 128</w:t>
      </w:r>
    </w:p>
    <w:p w14:paraId="23C436BF" w14:textId="3742360E"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39750EE9" w14:textId="02208E02" w:rsidR="00A43DB1" w:rsidRPr="00BE1029" w:rsidRDefault="000C4087"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Procesi</w:t>
      </w:r>
      <w:r w:rsidR="00A43DB1" w:rsidRPr="00BE1029">
        <w:rPr>
          <w:rFonts w:ascii="Garamond" w:hAnsi="Garamond" w:cs="Times New Roman"/>
          <w:color w:val="000000"/>
          <w:sz w:val="24"/>
          <w:szCs w:val="24"/>
          <w:lang w:val="sq-AL"/>
        </w:rPr>
        <w:t xml:space="preserve"> di</w:t>
      </w:r>
      <w:r w:rsidRPr="00BE1029">
        <w:rPr>
          <w:rFonts w:ascii="Garamond" w:hAnsi="Garamond" w:cs="Times New Roman"/>
          <w:color w:val="000000"/>
          <w:sz w:val="24"/>
          <w:szCs w:val="24"/>
          <w:lang w:val="sq-AL"/>
        </w:rPr>
        <w:t>siplinor</w:t>
      </w:r>
      <w:r w:rsidR="00A43DB1" w:rsidRPr="00BE1029">
        <w:rPr>
          <w:rFonts w:ascii="Garamond" w:hAnsi="Garamond" w:cs="Times New Roman"/>
          <w:color w:val="000000"/>
          <w:sz w:val="24"/>
          <w:szCs w:val="24"/>
          <w:lang w:val="sq-AL"/>
        </w:rPr>
        <w:t xml:space="preserve"> nd</w:t>
      </w:r>
      <w:r w:rsidRPr="00BE1029">
        <w:rPr>
          <w:rFonts w:ascii="Garamond" w:hAnsi="Garamond" w:cs="Times New Roman"/>
          <w:color w:val="000000"/>
          <w:sz w:val="24"/>
          <w:szCs w:val="24"/>
          <w:lang w:val="sq-AL"/>
        </w:rPr>
        <w:t>aj gjyqtarit zhvillohet nga Gjykata</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Kushtetuese,</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e cila vendos për </w:t>
      </w:r>
      <w:r w:rsidR="00A43DB1" w:rsidRPr="00BE1029">
        <w:rPr>
          <w:rFonts w:ascii="Garamond" w:hAnsi="Garamond" w:cs="Times New Roman"/>
          <w:color w:val="000000"/>
          <w:sz w:val="24"/>
          <w:szCs w:val="24"/>
          <w:lang w:val="sq-AL"/>
        </w:rPr>
        <w:t>shkarkimin e tij</w:t>
      </w:r>
      <w:r w:rsidR="00DF7282">
        <w:rPr>
          <w:rFonts w:ascii="Garamond" w:hAnsi="Garamond" w:cs="Times New Roman"/>
          <w:color w:val="000000"/>
          <w:sz w:val="24"/>
          <w:szCs w:val="24"/>
          <w:lang w:val="sq-AL"/>
        </w:rPr>
        <w:t>,</w:t>
      </w:r>
      <w:r w:rsidR="00A43DB1" w:rsidRPr="00BE1029">
        <w:rPr>
          <w:rFonts w:ascii="Garamond" w:hAnsi="Garamond" w:cs="Times New Roman"/>
          <w:color w:val="000000"/>
          <w:sz w:val="24"/>
          <w:szCs w:val="24"/>
          <w:lang w:val="sq-AL"/>
        </w:rPr>
        <w:t xml:space="preserve"> kur: </w:t>
      </w:r>
    </w:p>
    <w:p w14:paraId="5AC9CC19" w14:textId="444BA418"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 xml:space="preserve">... </w:t>
      </w:r>
    </w:p>
    <w:p w14:paraId="0AA7B18E" w14:textId="03B9D4C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b) dënohet me vendim gjyqësor të formës së prerë për kryerjen e një krimi.”</w:t>
      </w:r>
      <w:r w:rsidR="00876D5E">
        <w:rPr>
          <w:rFonts w:ascii="Garamond" w:hAnsi="Garamond" w:cs="Times New Roman"/>
          <w:color w:val="000000"/>
          <w:sz w:val="24"/>
          <w:szCs w:val="24"/>
          <w:lang w:val="sq-AL"/>
        </w:rPr>
        <w:t>.</w:t>
      </w:r>
    </w:p>
    <w:p w14:paraId="39C73917" w14:textId="4515C34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45. Neni 131 i Kushtetutës, ndryshuar në vitin 2015 dhe 2016, parashikon si më poshtë: </w:t>
      </w:r>
    </w:p>
    <w:p w14:paraId="56441BC4" w14:textId="23E20B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“Gjykata Kushtetuese vendos</w:t>
      </w:r>
      <w:r w:rsidR="0052448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w:t>
      </w:r>
    </w:p>
    <w:p w14:paraId="6529AC57" w14:textId="2A3224A8" w:rsidR="00A43DB1" w:rsidRPr="00BE1029" w:rsidRDefault="00A43DB1" w:rsidP="000C408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e) çështjet që lidhen me zgjedhshmërinë dhe papajtueshmëritë në ushtrimin e funksioneve të</w:t>
      </w:r>
      <w:r w:rsidRPr="00BE1029">
        <w:rPr>
          <w:rFonts w:ascii="Garamond" w:hAnsi="Garamond" w:cs="MS Sans Serif"/>
          <w:color w:val="000000"/>
          <w:sz w:val="24"/>
          <w:szCs w:val="24"/>
          <w:lang w:val="sq-AL"/>
        </w:rPr>
        <w:t xml:space="preserve"> </w:t>
      </w:r>
      <w:r w:rsidR="000C4087" w:rsidRPr="00BE1029">
        <w:rPr>
          <w:rFonts w:ascii="Garamond" w:hAnsi="Garamond" w:cs="Times New Roman"/>
          <w:color w:val="000000"/>
          <w:sz w:val="24"/>
          <w:szCs w:val="24"/>
          <w:lang w:val="sq-AL"/>
        </w:rPr>
        <w:t>Presidentit të Republikës,</w:t>
      </w:r>
      <w:r w:rsidR="00BB6ABE" w:rsidRPr="00BE1029">
        <w:rPr>
          <w:rFonts w:ascii="Garamond" w:hAnsi="Garamond" w:cs="Times New Roman"/>
          <w:color w:val="000000"/>
          <w:sz w:val="24"/>
          <w:szCs w:val="24"/>
          <w:lang w:val="sq-AL"/>
        </w:rPr>
        <w:t xml:space="preserve"> </w:t>
      </w:r>
      <w:r w:rsidR="000C4087" w:rsidRPr="00BE1029">
        <w:rPr>
          <w:rFonts w:ascii="Garamond" w:hAnsi="Garamond" w:cs="Times New Roman"/>
          <w:color w:val="000000"/>
          <w:sz w:val="24"/>
          <w:szCs w:val="24"/>
          <w:lang w:val="sq-AL"/>
        </w:rPr>
        <w:t>të deputetëve,</w:t>
      </w:r>
      <w:r w:rsidR="00BB6ABE" w:rsidRPr="00BE1029">
        <w:rPr>
          <w:rFonts w:ascii="Garamond" w:hAnsi="Garamond" w:cs="Times New Roman"/>
          <w:color w:val="000000"/>
          <w:sz w:val="24"/>
          <w:szCs w:val="24"/>
          <w:lang w:val="sq-AL"/>
        </w:rPr>
        <w:t xml:space="preserve"> </w:t>
      </w:r>
      <w:r w:rsidR="000C4087" w:rsidRPr="00BE1029">
        <w:rPr>
          <w:rFonts w:ascii="Garamond" w:hAnsi="Garamond" w:cs="Times New Roman"/>
          <w:color w:val="000000"/>
          <w:sz w:val="24"/>
          <w:szCs w:val="24"/>
          <w:lang w:val="sq-AL"/>
        </w:rPr>
        <w:t>të funksionarëve</w:t>
      </w:r>
      <w:r w:rsidRPr="00BE1029">
        <w:rPr>
          <w:rFonts w:ascii="Garamond" w:hAnsi="Garamond" w:cs="Times New Roman"/>
          <w:color w:val="000000"/>
          <w:sz w:val="24"/>
          <w:szCs w:val="24"/>
          <w:lang w:val="sq-AL"/>
        </w:rPr>
        <w:t xml:space="preserve"> të </w:t>
      </w:r>
      <w:r w:rsidR="000C4087" w:rsidRPr="00BE1029">
        <w:rPr>
          <w:rFonts w:ascii="Garamond" w:hAnsi="Garamond" w:cs="Times New Roman"/>
          <w:color w:val="000000"/>
          <w:sz w:val="24"/>
          <w:szCs w:val="24"/>
          <w:lang w:val="sq-AL"/>
        </w:rPr>
        <w:t>organeve të</w:t>
      </w:r>
      <w:r w:rsidRPr="00BE1029">
        <w:rPr>
          <w:rFonts w:ascii="Garamond" w:hAnsi="Garamond" w:cs="Times New Roman"/>
          <w:color w:val="000000"/>
          <w:sz w:val="24"/>
          <w:szCs w:val="24"/>
          <w:lang w:val="sq-AL"/>
        </w:rPr>
        <w:t xml:space="preserve"> parashikuara në Kushtetutë, si dhe me verifikimin e zgjedhjes së tyre.</w:t>
      </w:r>
    </w:p>
    <w:p w14:paraId="0AC5733B" w14:textId="59C6B2A8"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r w:rsidR="00BF3BED">
        <w:rPr>
          <w:rFonts w:ascii="Garamond" w:hAnsi="Garamond" w:cs="Times New Roman"/>
          <w:color w:val="000000"/>
          <w:sz w:val="24"/>
          <w:szCs w:val="24"/>
          <w:lang w:val="sq-AL"/>
        </w:rPr>
        <w:t>...</w:t>
      </w:r>
    </w:p>
    <w:p w14:paraId="53E247F1" w14:textId="36C0AE7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f)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w:t>
      </w:r>
      <w:r w:rsidR="00BF3BE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p>
    <w:p w14:paraId="2841DE5C" w14:textId="758F5C3D"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46. Në mbështetje të </w:t>
      </w:r>
      <w:r w:rsidR="00BF3BED"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179/b § 5 të Kushtetutës, KPA u krijua si njëri prej kolegjeve të Gjykatës Kushtetuese për një periudhë të kufizuar prej nëntë v</w:t>
      </w:r>
      <w:r w:rsidR="00BF3BED">
        <w:rPr>
          <w:rFonts w:ascii="Garamond" w:hAnsi="Garamond" w:cs="Times New Roman"/>
          <w:color w:val="000000"/>
          <w:sz w:val="24"/>
          <w:szCs w:val="24"/>
          <w:lang w:val="sq-AL"/>
        </w:rPr>
        <w:t>jetë</w:t>
      </w:r>
      <w:r w:rsidRPr="00BE1029">
        <w:rPr>
          <w:rFonts w:ascii="Garamond" w:hAnsi="Garamond" w:cs="Times New Roman"/>
          <w:color w:val="000000"/>
          <w:sz w:val="24"/>
          <w:szCs w:val="24"/>
          <w:lang w:val="sq-AL"/>
        </w:rPr>
        <w:t xml:space="preserve">sh. </w:t>
      </w:r>
    </w:p>
    <w:p w14:paraId="01FC3230" w14:textId="1C7399F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47. Në mbështetje me </w:t>
      </w:r>
      <w:r w:rsidR="00BF3BED"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C § 3 të aneksit të Kushtetutës, gjyqtarët e KPA-së kanë statusin e gjyqtarëve të Gjykatës Kushtetuese. </w:t>
      </w:r>
    </w:p>
    <w:p w14:paraId="431E08D8" w14:textId="46D2B7E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48. Neni F § 8 i aneksit të Kushtetutës parashikon se subjektet e rivlerësuar kanë të drejtën të ushtrojnë ankim në Gjykatën Evropiane për të Drejtat e Njeriut. </w:t>
      </w:r>
    </w:p>
    <w:p w14:paraId="07BF9A77" w14:textId="73CE5EF6"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Ligji për </w:t>
      </w:r>
      <w:r w:rsidR="00BF3BED" w:rsidRPr="00BE1029">
        <w:rPr>
          <w:rFonts w:ascii="Garamond" w:hAnsi="Garamond" w:cs="Times New Roman"/>
          <w:b/>
          <w:bCs/>
          <w:color w:val="000000"/>
          <w:sz w:val="24"/>
          <w:szCs w:val="24"/>
          <w:lang w:val="sq-AL"/>
        </w:rPr>
        <w:t xml:space="preserve">rivlerësimin kalimtar të gjyqtarëve dhe prokurorëve </w:t>
      </w:r>
      <w:r w:rsidRPr="00BE1029">
        <w:rPr>
          <w:rFonts w:ascii="Garamond" w:hAnsi="Garamond" w:cs="Times New Roman"/>
          <w:b/>
          <w:bCs/>
          <w:color w:val="000000"/>
          <w:sz w:val="24"/>
          <w:szCs w:val="24"/>
          <w:lang w:val="sq-AL"/>
        </w:rPr>
        <w:t>(</w:t>
      </w:r>
      <w:r w:rsidR="00BF3BED" w:rsidRPr="00BE1029">
        <w:rPr>
          <w:rFonts w:ascii="Garamond" w:hAnsi="Garamond" w:cs="Times New Roman"/>
          <w:b/>
          <w:bCs/>
          <w:color w:val="000000"/>
          <w:sz w:val="24"/>
          <w:szCs w:val="24"/>
          <w:lang w:val="sq-AL"/>
        </w:rPr>
        <w:t xml:space="preserve">ligji </w:t>
      </w:r>
      <w:r w:rsidRPr="00BE1029">
        <w:rPr>
          <w:rFonts w:ascii="Garamond" w:hAnsi="Garamond" w:cs="Times New Roman"/>
          <w:b/>
          <w:bCs/>
          <w:color w:val="000000"/>
          <w:sz w:val="24"/>
          <w:szCs w:val="24"/>
          <w:lang w:val="sq-AL"/>
        </w:rPr>
        <w:t xml:space="preserve">nr. 84/2016 – “Ligji i </w:t>
      </w:r>
      <w:r w:rsidR="00BF3BED" w:rsidRPr="00BE1029">
        <w:rPr>
          <w:rFonts w:ascii="Garamond" w:hAnsi="Garamond" w:cs="Times New Roman"/>
          <w:b/>
          <w:bCs/>
          <w:color w:val="000000"/>
          <w:sz w:val="24"/>
          <w:szCs w:val="24"/>
          <w:lang w:val="sq-AL"/>
        </w:rPr>
        <w:t>rivlerësimit</w:t>
      </w:r>
      <w:r w:rsidRPr="00BE1029">
        <w:rPr>
          <w:rFonts w:ascii="Garamond" w:hAnsi="Garamond" w:cs="Times New Roman"/>
          <w:b/>
          <w:bCs/>
          <w:color w:val="000000"/>
          <w:sz w:val="24"/>
          <w:szCs w:val="24"/>
          <w:lang w:val="sq-AL"/>
        </w:rPr>
        <w:t>”)</w:t>
      </w:r>
    </w:p>
    <w:p w14:paraId="6BAE5926" w14:textId="3F9F8B0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49. Sipas </w:t>
      </w:r>
      <w:r w:rsidR="00BF3BED"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4(6), organet e rivlerësimit mund të zbatojnë procedurat e parashikuara në Kodin e Procedurës Administrative (</w:t>
      </w:r>
      <w:r w:rsidR="00A71B24"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t xml:space="preserve">nr. 44/2015, i ndryshuar) ose në </w:t>
      </w:r>
      <w:r w:rsidR="00BF3BED" w:rsidRPr="00BE1029">
        <w:rPr>
          <w:rFonts w:ascii="Garamond" w:hAnsi="Garamond" w:cs="Times New Roman"/>
          <w:color w:val="000000"/>
          <w:sz w:val="24"/>
          <w:szCs w:val="24"/>
          <w:lang w:val="sq-AL"/>
        </w:rPr>
        <w:t xml:space="preserve">ligjin për gjykatat administrative (ligji </w:t>
      </w:r>
      <w:r w:rsidRPr="00BE1029">
        <w:rPr>
          <w:rFonts w:ascii="Garamond" w:hAnsi="Garamond" w:cs="Times New Roman"/>
          <w:color w:val="000000"/>
          <w:sz w:val="24"/>
          <w:szCs w:val="24"/>
          <w:lang w:val="sq-AL"/>
        </w:rPr>
        <w:t xml:space="preserve">nr. 49/2012, i ndryshuar), nëse e gjykojnë të përshtatshme, dhe nëse një procedurë e caktuar nuk parashikohet në Kushtetutë ose në </w:t>
      </w:r>
      <w:r w:rsidR="00BF3BED" w:rsidRPr="00BE1029">
        <w:rPr>
          <w:rFonts w:ascii="Garamond" w:hAnsi="Garamond" w:cs="Times New Roman"/>
          <w:color w:val="000000"/>
          <w:sz w:val="24"/>
          <w:szCs w:val="24"/>
          <w:lang w:val="sq-AL"/>
        </w:rPr>
        <w:t xml:space="preserve">ligjin e rivlerësimit. </w:t>
      </w:r>
    </w:p>
    <w:p w14:paraId="1A9F085C" w14:textId="09990CC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50. Neni 6(1) (dh) i </w:t>
      </w:r>
      <w:r w:rsidR="00BF3BED"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 xml:space="preserve">parashikon: </w:t>
      </w:r>
    </w:p>
    <w:p w14:paraId="2A51D959"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color w:val="000000"/>
          <w:sz w:val="24"/>
          <w:szCs w:val="24"/>
          <w:lang w:val="sq-AL"/>
        </w:rPr>
        <w:t>“</w:t>
      </w:r>
      <w:r w:rsidRPr="00BE1029">
        <w:rPr>
          <w:rFonts w:ascii="Garamond" w:hAnsi="Garamond" w:cs="Times New Roman"/>
          <w:b/>
          <w:bCs/>
          <w:color w:val="000000"/>
          <w:sz w:val="24"/>
          <w:szCs w:val="24"/>
          <w:lang w:val="sq-AL"/>
        </w:rPr>
        <w:t>Neni 6 – Kriteret e zgjedhjes së anëtarëve të institucioneve të rivlerësimit</w:t>
      </w:r>
    </w:p>
    <w:p w14:paraId="210BFC2F" w14:textId="5C9E472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Anëtar i Komisionit dhe gjyqtar i Kolegjit të Apelimit zgjidhet shtetasi shqiptar që plotëson kriteret e mëposhtme: </w:t>
      </w:r>
    </w:p>
    <w:p w14:paraId="63D64A2C"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2EE8758B"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[ai/ajo] të ketë marrë një vlerësim të lartë për aftësitë e tij profesional, etike dhe integritetin moral të tij, nëse u është nënshtruar vlerësimeve të mëparshme; </w:t>
      </w:r>
    </w:p>
    <w:p w14:paraId="26F21D21"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31544757"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dh) ndaj tij të mos jetë marrë masa disiplinore e largimit nga puna, ose ndonjë masë tjetër disiplinore, e cila është ende në fuqi, sipas legjislacionit në momentin e aplikimit [për një pozicion në organet e rivlerësimit];”</w:t>
      </w:r>
    </w:p>
    <w:p w14:paraId="38553702" w14:textId="3A0311C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C. Ligji për </w:t>
      </w:r>
      <w:r w:rsidR="00BF3BED" w:rsidRPr="00BE1029">
        <w:rPr>
          <w:rFonts w:ascii="Garamond" w:hAnsi="Garamond" w:cs="Times New Roman"/>
          <w:b/>
          <w:bCs/>
          <w:color w:val="000000"/>
          <w:sz w:val="24"/>
          <w:szCs w:val="24"/>
          <w:lang w:val="sq-AL"/>
        </w:rPr>
        <w:t>statusin e gjyqtarëve (ligj</w:t>
      </w:r>
      <w:r w:rsidRPr="00BE1029">
        <w:rPr>
          <w:rFonts w:ascii="Garamond" w:hAnsi="Garamond" w:cs="Times New Roman"/>
          <w:b/>
          <w:bCs/>
          <w:color w:val="000000"/>
          <w:sz w:val="24"/>
          <w:szCs w:val="24"/>
          <w:lang w:val="sq-AL"/>
        </w:rPr>
        <w:t>i nr. 96/2016, i ndryshuar)</w:t>
      </w:r>
    </w:p>
    <w:p w14:paraId="0FB76D5C" w14:textId="0A702DC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51. Ligji për </w:t>
      </w:r>
      <w:r w:rsidR="00BF3BED" w:rsidRPr="00BE1029">
        <w:rPr>
          <w:rFonts w:ascii="Garamond" w:hAnsi="Garamond" w:cs="Times New Roman"/>
          <w:color w:val="000000"/>
          <w:sz w:val="24"/>
          <w:szCs w:val="24"/>
          <w:lang w:val="sq-AL"/>
        </w:rPr>
        <w:t>statusin e gjyqtarëve dhe prokurorëve</w:t>
      </w:r>
      <w:r w:rsidRPr="00BE1029">
        <w:rPr>
          <w:rFonts w:ascii="Garamond" w:hAnsi="Garamond" w:cs="Times New Roman"/>
          <w:color w:val="000000"/>
          <w:sz w:val="24"/>
          <w:szCs w:val="24"/>
          <w:lang w:val="sq-AL"/>
        </w:rPr>
        <w:t xml:space="preserve">, i cili hyri në fuqi më 22 </w:t>
      </w:r>
      <w:r w:rsidR="00BF3BED"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 xml:space="preserve">2016, parashikon rregullat për statusin e magjistratëve – që do të thotë të gjyqtarëve dhe prokurorëve. </w:t>
      </w:r>
    </w:p>
    <w:p w14:paraId="0AEB221D" w14:textId="66A663C8"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52. Neni 28 parashikon kriteret që duhet të përmbushë një individ për t’u emëruar si magjistrat; pika </w:t>
      </w:r>
      <w:r w:rsidR="00BF3BE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dh</w:t>
      </w:r>
      <w:r w:rsidR="00BF3BED">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e këtij neni parashikon se një individ ka të drejtën të aplikojë për t’u pranuar në kursin e trajnimit fillestar për magjistratët, nëse ai ose ajo nuk është shkarkuar nga detyra për arsye disiplinore dhe nuk ka qenë subjekt i ndonjë sanksioni disiplinor i cili është ende në fuqi. </w:t>
      </w:r>
    </w:p>
    <w:p w14:paraId="79887525" w14:textId="64A42A6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53. Neni 66 i </w:t>
      </w:r>
      <w:r w:rsidR="00BF3BED"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parashikon: </w:t>
      </w:r>
    </w:p>
    <w:p w14:paraId="787E4448" w14:textId="77777777" w:rsidR="0075617E" w:rsidRPr="00BE1029" w:rsidRDefault="0075617E" w:rsidP="00A43DB1">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4B1C372B" w14:textId="77777777" w:rsidR="00BF3BED" w:rsidRPr="004C35B2" w:rsidRDefault="00A43DB1" w:rsidP="00BF3BED">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C35B2">
        <w:rPr>
          <w:rFonts w:ascii="Garamond" w:hAnsi="Garamond" w:cs="Times New Roman"/>
          <w:color w:val="000000"/>
          <w:sz w:val="24"/>
          <w:szCs w:val="24"/>
          <w:lang w:val="sq-AL"/>
        </w:rPr>
        <w:t>“Neni 66</w:t>
      </w:r>
    </w:p>
    <w:p w14:paraId="0302F8A4" w14:textId="147D5766" w:rsidR="00A43DB1" w:rsidRPr="00BE1029" w:rsidRDefault="00A43DB1" w:rsidP="00BF3BED">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Përzgjedhshmëria dhe papajtueshmëria </w:t>
      </w:r>
    </w:p>
    <w:p w14:paraId="24096A25"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1839DA9F" w14:textId="6B0FAE1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 Statusi i magjistratit mbaron në ditën kur autoriteti kompetent përcakton me vendim shkaqet e pazgjedhshmërisë</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vijon: </w:t>
      </w:r>
    </w:p>
    <w:p w14:paraId="7E84D3AF" w14:textId="12C7F16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kur magjistrati nuk plotëson kriteret e përcaktuara, sipas </w:t>
      </w:r>
      <w:r w:rsidR="00BB794A"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28 të këtij </w:t>
      </w:r>
      <w:r w:rsidR="00BB794A" w:rsidRPr="00BE1029">
        <w:rPr>
          <w:rFonts w:ascii="Garamond" w:hAnsi="Garamond" w:cs="Times New Roman"/>
          <w:color w:val="000000"/>
          <w:sz w:val="24"/>
          <w:szCs w:val="24"/>
          <w:lang w:val="sq-AL"/>
        </w:rPr>
        <w:t>LIGJI</w:t>
      </w:r>
      <w:r w:rsidRPr="00BE1029">
        <w:rPr>
          <w:rFonts w:ascii="Garamond" w:hAnsi="Garamond" w:cs="Times New Roman"/>
          <w:color w:val="000000"/>
          <w:sz w:val="24"/>
          <w:szCs w:val="24"/>
          <w:lang w:val="sq-AL"/>
        </w:rPr>
        <w:t xml:space="preserve">; </w:t>
      </w:r>
    </w:p>
    <w:p w14:paraId="48B9DD2E" w14:textId="50CDDC9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kur vendimi i emërimit është i pavlefshëm dhe nuk sjell asnjë pasojë juridike, si edhe konsiderohet se nuk ekziston. </w:t>
      </w:r>
    </w:p>
    <w:p w14:paraId="1D670A4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1500F93E" w14:textId="7108E42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Këshilli [i Lartë Gjyqësor] deklaron me vendim mbarimin e statusit të magjistratit, jo më vonë se dy javë nga marrja e njoftimit për shkakun e pazgjedhshmërisë ose papajtueshmërisë. </w:t>
      </w:r>
    </w:p>
    <w:p w14:paraId="616677A5" w14:textId="1BC7E63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 Vendimi përcakton datën e mbarimit të statusit të magjistratit, sipas parashikimit të pikës 1 ose 2 të këtij neni. </w:t>
      </w:r>
    </w:p>
    <w:p w14:paraId="3308D0A8" w14:textId="1B84B2A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 Çdo veprim i kryer nga magjistrati pas kësaj date është i pavlefshëm dhe konsiderohet që nuk sjell asnjë pasojë juridike, si dhe konsiderohet se nuk ekziston.”</w:t>
      </w:r>
      <w:r w:rsidR="00BB794A">
        <w:rPr>
          <w:rFonts w:ascii="Garamond" w:hAnsi="Garamond" w:cs="Times New Roman"/>
          <w:color w:val="000000"/>
          <w:sz w:val="24"/>
          <w:szCs w:val="24"/>
          <w:lang w:val="sq-AL"/>
        </w:rPr>
        <w:t>.</w:t>
      </w:r>
    </w:p>
    <w:p w14:paraId="5C80E72C" w14:textId="2392435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54. Neni 150(3) përcakton se masa disiplinore e largimit nga detyra ndaj gjyqtarëve dhe prokurorëve nuk shuhet dhe nuk fshihet nga regjistri i masave disiplinore, i cili mbahet nga autoritetet përgjegjëse. </w:t>
      </w:r>
    </w:p>
    <w:p w14:paraId="78725FF1" w14:textId="196C61D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D. Ligji për Organizimin e Pushtetit Gjyqësor i vitit 2008 (</w:t>
      </w:r>
      <w:r w:rsidR="00BB794A" w:rsidRPr="00BE1029">
        <w:rPr>
          <w:rFonts w:ascii="Garamond" w:hAnsi="Garamond" w:cs="Times New Roman"/>
          <w:b/>
          <w:bCs/>
          <w:color w:val="000000"/>
          <w:sz w:val="24"/>
          <w:szCs w:val="24"/>
          <w:lang w:val="sq-AL"/>
        </w:rPr>
        <w:t xml:space="preserve">ligji </w:t>
      </w:r>
      <w:r w:rsidRPr="00BE1029">
        <w:rPr>
          <w:rFonts w:ascii="Garamond" w:hAnsi="Garamond" w:cs="Times New Roman"/>
          <w:b/>
          <w:bCs/>
          <w:color w:val="000000"/>
          <w:sz w:val="24"/>
          <w:szCs w:val="24"/>
          <w:lang w:val="sq-AL"/>
        </w:rPr>
        <w:t xml:space="preserve">nr. 9877/2008 i datës 18 </w:t>
      </w:r>
      <w:r w:rsidR="00BB794A" w:rsidRPr="00BE1029">
        <w:rPr>
          <w:rFonts w:ascii="Garamond" w:hAnsi="Garamond" w:cs="Times New Roman"/>
          <w:b/>
          <w:bCs/>
          <w:color w:val="000000"/>
          <w:sz w:val="24"/>
          <w:szCs w:val="24"/>
          <w:lang w:val="sq-AL"/>
        </w:rPr>
        <w:t xml:space="preserve">shkurt </w:t>
      </w:r>
      <w:r w:rsidRPr="00BE1029">
        <w:rPr>
          <w:rFonts w:ascii="Garamond" w:hAnsi="Garamond" w:cs="Times New Roman"/>
          <w:b/>
          <w:bCs/>
          <w:color w:val="000000"/>
          <w:sz w:val="24"/>
          <w:szCs w:val="24"/>
          <w:lang w:val="sq-AL"/>
        </w:rPr>
        <w:t xml:space="preserve">2008 për Organizimin dhe Funksionimin e Pushtetit Gjyqësor, i ndryshuar – në fuqi deri më 22 </w:t>
      </w:r>
      <w:r w:rsidR="00BB794A" w:rsidRPr="00BE1029">
        <w:rPr>
          <w:rFonts w:ascii="Garamond" w:hAnsi="Garamond" w:cs="Times New Roman"/>
          <w:b/>
          <w:bCs/>
          <w:color w:val="000000"/>
          <w:sz w:val="24"/>
          <w:szCs w:val="24"/>
          <w:lang w:val="sq-AL"/>
        </w:rPr>
        <w:t xml:space="preserve">nëntor </w:t>
      </w:r>
      <w:r w:rsidRPr="00BE1029">
        <w:rPr>
          <w:rFonts w:ascii="Garamond" w:hAnsi="Garamond" w:cs="Times New Roman"/>
          <w:b/>
          <w:bCs/>
          <w:color w:val="000000"/>
          <w:sz w:val="24"/>
          <w:szCs w:val="24"/>
          <w:lang w:val="sq-AL"/>
        </w:rPr>
        <w:t>2016)</w:t>
      </w:r>
    </w:p>
    <w:p w14:paraId="29391E1F" w14:textId="1C8C257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55. Nenet përkatëse të </w:t>
      </w:r>
      <w:r w:rsidR="00BB794A" w:rsidRPr="00BE1029">
        <w:rPr>
          <w:rFonts w:ascii="Garamond" w:hAnsi="Garamond" w:cs="Times New Roman"/>
          <w:color w:val="000000"/>
          <w:sz w:val="24"/>
          <w:szCs w:val="24"/>
          <w:lang w:val="sq-AL"/>
        </w:rPr>
        <w:t xml:space="preserve">ligjit për pushtetin gjyqësor </w:t>
      </w:r>
      <w:r w:rsidRPr="00BE1029">
        <w:rPr>
          <w:rFonts w:ascii="Garamond" w:hAnsi="Garamond" w:cs="Times New Roman"/>
          <w:color w:val="000000"/>
          <w:sz w:val="24"/>
          <w:szCs w:val="24"/>
          <w:lang w:val="sq-AL"/>
        </w:rPr>
        <w:t>2008 parashikojnë</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vijon: </w:t>
      </w:r>
    </w:p>
    <w:p w14:paraId="0F454D8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20F97B1" w14:textId="77777777" w:rsidR="00BB794A" w:rsidRPr="00BB794A" w:rsidRDefault="00A43DB1" w:rsidP="00BB794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BB794A">
        <w:rPr>
          <w:rFonts w:ascii="Garamond" w:hAnsi="Garamond" w:cs="Times New Roman"/>
          <w:color w:val="000000"/>
          <w:sz w:val="24"/>
          <w:szCs w:val="24"/>
          <w:lang w:val="sq-AL"/>
        </w:rPr>
        <w:t>“Neni 32</w:t>
      </w:r>
    </w:p>
    <w:p w14:paraId="70BAF0DA" w14:textId="0B3B3A05" w:rsidR="00A43DB1" w:rsidRPr="00BE1029" w:rsidRDefault="00A43DB1" w:rsidP="00BB794A">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Shkeljet disiplinore</w:t>
      </w:r>
    </w:p>
    <w:p w14:paraId="4EB6D4BA"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570BD563" w14:textId="0A446B04"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Shkeljet e disiplinës së gjyqtarit ndahen në: </w:t>
      </w:r>
    </w:p>
    <w:p w14:paraId="7C060D6E" w14:textId="5062F6D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shumë të rënda; </w:t>
      </w:r>
    </w:p>
    <w:p w14:paraId="0F3E2655" w14:textId="07753DD0"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të rënda; </w:t>
      </w:r>
    </w:p>
    <w:p w14:paraId="5E51379C" w14:textId="6C0E1832"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të lehta. </w:t>
      </w:r>
    </w:p>
    <w:p w14:paraId="6CCF465E" w14:textId="77777777" w:rsidR="00A43DB1" w:rsidRPr="00BB794A"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B794A">
        <w:rPr>
          <w:rFonts w:ascii="Garamond" w:hAnsi="Garamond" w:cs="Times New Roman"/>
          <w:color w:val="000000"/>
          <w:sz w:val="24"/>
          <w:szCs w:val="24"/>
          <w:lang w:val="sq-AL"/>
        </w:rPr>
        <w:t>...</w:t>
      </w:r>
    </w:p>
    <w:p w14:paraId="3FBB5BC8" w14:textId="77777777" w:rsidR="00BB794A" w:rsidRPr="00BB794A" w:rsidRDefault="00A43DB1" w:rsidP="00BB794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BB794A">
        <w:rPr>
          <w:rFonts w:ascii="Garamond" w:hAnsi="Garamond" w:cs="Times New Roman"/>
          <w:color w:val="000000"/>
          <w:sz w:val="24"/>
          <w:szCs w:val="24"/>
          <w:lang w:val="sq-AL"/>
        </w:rPr>
        <w:t>Neni 33</w:t>
      </w:r>
    </w:p>
    <w:p w14:paraId="66CB7729" w14:textId="11BCD06A" w:rsidR="00A43DB1" w:rsidRPr="00BE1029" w:rsidRDefault="00A43DB1" w:rsidP="00BB794A">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Masat disiplinore</w:t>
      </w:r>
    </w:p>
    <w:p w14:paraId="26A75935"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7D15FCA6" w14:textId="201867C8"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Masat disiplinore jepen në raport të drejtë me shkeljen e kryer. </w:t>
      </w:r>
    </w:p>
    <w:p w14:paraId="4F8A6790" w14:textId="611FF012"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 Masat disiplinore janë: </w:t>
      </w:r>
    </w:p>
    <w:p w14:paraId="0BB3D183" w14:textId="282B001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vërejtje; </w:t>
      </w:r>
    </w:p>
    <w:p w14:paraId="0C794C09" w14:textId="452AAE53"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vërejtje me paralajmërim; </w:t>
      </w:r>
    </w:p>
    <w:p w14:paraId="2466A6A6" w14:textId="57BAFEB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ulje e përkohshme për 1 deri në 2 vjet në detyrë në një gjykatë të një niveli më të ulët; </w:t>
      </w:r>
    </w:p>
    <w:p w14:paraId="1113FCAF" w14:textId="77777777" w:rsidR="00A43DB1" w:rsidRPr="00BE1029" w:rsidRDefault="00A43DB1" w:rsidP="00BB794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ç) dërgimi për 1 deri në 2 vjet në një gjykatë të të njëjtit nivel jashtë rrethit gjyqësor ku gjyqtari ka emërimin e tij; </w:t>
      </w:r>
    </w:p>
    <w:p w14:paraId="46D178E6" w14:textId="77777777"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d) shkarkim nga detyra. </w:t>
      </w:r>
    </w:p>
    <w:p w14:paraId="6D17F9A7" w14:textId="37A70D8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3. Për shkeljet shumë të rënda, të parashikuara në nenin 32 pika 2 të këtij ligji, jepet masa disiplinore e parashikuar në shkronjën “d”</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pikës 2</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këtij neni. </w:t>
      </w:r>
    </w:p>
    <w:p w14:paraId="4BD15D4D"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Për shkeljet e rënda, të parashikuara në nenin 32 pika 3 të këtij ligji, jepet masa disiplinore e parashikuar në shkronjat “c” dhe “ç” të pikës 2 të këtij neni. </w:t>
      </w:r>
    </w:p>
    <w:p w14:paraId="39F52086"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5. Për shkeljet e lehta, të parashikuara në nenin 32 pika 4 të këtij ligji, jepet masa disiplinore e parashikuar në shkronjat “a” dhe “b” të pikës 2 të këtij neni. </w:t>
      </w:r>
    </w:p>
    <w:p w14:paraId="0BED8E73"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 Për efekt të procedimit disiplinor, masat disiplinore të rënda shlyhen brenda 3 vjetëve nga data e dhënies së tyre, në qoftë se nuk është marrë ndonjë masë tjetër disiplinore, ndërsa masat disiplinore të lehta shlyhen brenda 2 vjetëve nga data e dhënies së tyre, në qoftë se nuk është marrë ndonjë masë tjetër disiplinore.”</w:t>
      </w:r>
    </w:p>
    <w:p w14:paraId="15863A69" w14:textId="05FD354C"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E. Parashikime të tjera të lidhura me çështjen</w:t>
      </w:r>
    </w:p>
    <w:p w14:paraId="761C54E8" w14:textId="0A62B04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56. Neni 494 § (ë) i Kodit të Procedurës Civile parashikon se një palë mund të kërkojë rishikimin e një vendimi që ka marrë formë të prerë në rastin kur Gjykata Evropiane e të </w:t>
      </w:r>
      <w:r w:rsidR="00BB794A" w:rsidRPr="00BE1029">
        <w:rPr>
          <w:rFonts w:ascii="Garamond" w:hAnsi="Garamond" w:cs="Times New Roman"/>
          <w:color w:val="000000"/>
          <w:sz w:val="24"/>
          <w:szCs w:val="24"/>
          <w:lang w:val="sq-AL"/>
        </w:rPr>
        <w:t xml:space="preserve">Drejtave </w:t>
      </w:r>
      <w:r w:rsidRPr="00BE1029">
        <w:rPr>
          <w:rFonts w:ascii="Garamond" w:hAnsi="Garamond" w:cs="Times New Roman"/>
          <w:color w:val="000000"/>
          <w:sz w:val="24"/>
          <w:szCs w:val="24"/>
          <w:lang w:val="sq-AL"/>
        </w:rPr>
        <w:t xml:space="preserve">të Njeriut konstaton një shkelje të Konventës ose të protokolleve të saj, të cilat janë ratifikuar nga Shqipëria. </w:t>
      </w:r>
    </w:p>
    <w:p w14:paraId="37F24F3A" w14:textId="29B6796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57. Paragrafi 3 i </w:t>
      </w:r>
      <w:r w:rsidR="00BB794A"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71/c të </w:t>
      </w:r>
      <w:r w:rsidR="00BB794A" w:rsidRPr="00BE1029">
        <w:rPr>
          <w:rFonts w:ascii="Garamond" w:hAnsi="Garamond" w:cs="Times New Roman"/>
          <w:color w:val="000000"/>
          <w:sz w:val="24"/>
          <w:szCs w:val="24"/>
          <w:lang w:val="sq-AL"/>
        </w:rPr>
        <w:t xml:space="preserve">ligjit për Gjykatën Kushtetuese </w:t>
      </w:r>
      <w:r w:rsidRPr="00BE1029">
        <w:rPr>
          <w:rFonts w:ascii="Garamond" w:hAnsi="Garamond" w:cs="Times New Roman"/>
          <w:color w:val="000000"/>
          <w:sz w:val="24"/>
          <w:szCs w:val="24"/>
          <w:lang w:val="sq-AL"/>
        </w:rPr>
        <w:t xml:space="preserve">(ligji nr. 8577 i datës 10 </w:t>
      </w:r>
      <w:r w:rsidR="00BB794A"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2000, i ndryshuar me </w:t>
      </w:r>
      <w:r w:rsidR="00BB794A" w:rsidRPr="00BE1029">
        <w:rPr>
          <w:rFonts w:ascii="Garamond" w:hAnsi="Garamond" w:cs="Times New Roman"/>
          <w:color w:val="000000"/>
          <w:sz w:val="24"/>
          <w:szCs w:val="24"/>
          <w:lang w:val="sq-AL"/>
        </w:rPr>
        <w:t xml:space="preserve">ligjin </w:t>
      </w:r>
      <w:r w:rsidRPr="00BE1029">
        <w:rPr>
          <w:rFonts w:ascii="Garamond" w:hAnsi="Garamond" w:cs="Times New Roman"/>
          <w:color w:val="000000"/>
          <w:sz w:val="24"/>
          <w:szCs w:val="24"/>
          <w:lang w:val="sq-AL"/>
        </w:rPr>
        <w:t>nr. 99/2016) parashikon se pas dhënies së një vendimi nga një gjykatë ndërkombëtare ku vlerësohet se vendimi i Gjykatës Kushtetuese ka cenuar të drejtat dhe liritë bazë të një individi, pala e interesuar mund të kërkojë rihapjen e procedurave konkrete në Gjykatën Kushtetuese. Sipas paragrafit 5(b) të të njëjtit nen, një kërkesë e tillë nuk lejohet</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gjykata ndërkombëtare ka dhënë një dëmshpërblim pa e shoqëruar me rihapje të procesit. </w:t>
      </w:r>
    </w:p>
    <w:p w14:paraId="65D64327" w14:textId="53E22DC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58. Parashikimet e tjera të ligjit dhe të praktikës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çështjen konkrete janë parashikuar në vendimin </w:t>
      </w:r>
      <w:r w:rsidRPr="00BE1029">
        <w:rPr>
          <w:rFonts w:ascii="Garamond" w:hAnsi="Garamond" w:cs="Times New Roman"/>
          <w:i/>
          <w:iCs/>
          <w:color w:val="000000"/>
          <w:sz w:val="24"/>
          <w:szCs w:val="24"/>
          <w:lang w:val="sq-AL"/>
        </w:rPr>
        <w:t>Xhoxhaj</w:t>
      </w:r>
      <w:r w:rsidRPr="00BE1029">
        <w:rPr>
          <w:rFonts w:ascii="Garamond" w:hAnsi="Garamond" w:cs="Times New Roman"/>
          <w:color w:val="000000"/>
          <w:sz w:val="24"/>
          <w:szCs w:val="24"/>
          <w:lang w:val="sq-AL"/>
        </w:rPr>
        <w:t>, cituar më sipër, §§ 93</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209. </w:t>
      </w:r>
    </w:p>
    <w:p w14:paraId="5BD82229" w14:textId="2B67863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PRAKTIKA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w:t>
      </w:r>
    </w:p>
    <w:p w14:paraId="50C07CC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Praktika gjyqësore e Gjykatës Kushtetuese </w:t>
      </w:r>
    </w:p>
    <w:p w14:paraId="2DC5EED0" w14:textId="399D768F" w:rsidR="00A43DB1" w:rsidRPr="00BE1029" w:rsidRDefault="00A43DB1" w:rsidP="004548C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59. Me anë të vendimit nr. 59, të datës 23 </w:t>
      </w:r>
      <w:r w:rsidR="004548C5"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2014,</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Gjykata Kushtetuese rrëzoi ankesën e paraqitur nga një numër deputetësh, të cilët, ndër të tjera, kishin kërkuar që gjykata t’i shpallte jokushtetuese tr</w:t>
      </w:r>
      <w:r w:rsidR="004548C5">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vendimet e Parlamentit që shkarkonin nga detyra drejtuesin – dhe në vijim emëronin një drejtor të ri – e Inspektoratit të Lartë për Deklarimin dhe Kontrollin e Pasurisë dhe Konfliktet e Interesit (një organ administrativ i pavarur). Ndër të tjera, gjykata konstatoi se më shumë se</w:t>
      </w:r>
      <w:r w:rsidR="00B57054">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sa akte rregullatorë, aktet e kundërshtuara kishin qenë vendime individuale</w:t>
      </w:r>
      <w:r w:rsidR="00B5705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shkarkimin e një zyrtari publik; për këtë arsye, çdo vlerësim i pajtueshmërisë së tyre me Kushtetutën ishte nën juridiksionin e gjykatave administrative të zakonshme, përpara së cilave procedurat tashmë ishin ndërmarrë nga pala e interesuar. </w:t>
      </w:r>
    </w:p>
    <w:p w14:paraId="246C21CF"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LIGJI</w:t>
      </w:r>
    </w:p>
    <w:p w14:paraId="07A930D6" w14:textId="4FF02F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w:t>
      </w:r>
      <w:r w:rsidR="00B57054">
        <w:rPr>
          <w:rFonts w:ascii="Garamond" w:hAnsi="Garamond" w:cs="Times New Roman"/>
          <w:color w:val="000000"/>
          <w:sz w:val="24"/>
          <w:szCs w:val="24"/>
          <w:lang w:val="sq-AL"/>
        </w:rPr>
        <w:t xml:space="preserve"> SHKELJE E PRETENDUAR E NENIT 6§</w:t>
      </w:r>
      <w:r w:rsidRPr="00BE1029">
        <w:rPr>
          <w:rFonts w:ascii="Garamond" w:hAnsi="Garamond" w:cs="Times New Roman"/>
          <w:color w:val="000000"/>
          <w:sz w:val="24"/>
          <w:szCs w:val="24"/>
          <w:lang w:val="sq-AL"/>
        </w:rPr>
        <w:t>1 TË KONVENTËS NË LIDHJE ME TË DREJTËN PËR NJË GJYKATË TË KRIJUAR ME LIGJ PËR PRANINË E L.D. NË TRUPËN E KOLEGJIT TË POSAÇËM TË APELIMIT</w:t>
      </w:r>
    </w:p>
    <w:p w14:paraId="5D11092D" w14:textId="54356C2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60. Kërkuesi u a</w:t>
      </w:r>
      <w:r w:rsidR="00B57054">
        <w:rPr>
          <w:rFonts w:ascii="Garamond" w:hAnsi="Garamond" w:cs="Times New Roman"/>
          <w:color w:val="000000"/>
          <w:sz w:val="24"/>
          <w:szCs w:val="24"/>
          <w:lang w:val="sq-AL"/>
        </w:rPr>
        <w:t>nkua në mbështetje të nenit 6§</w:t>
      </w:r>
      <w:r w:rsidRPr="00BE1029">
        <w:rPr>
          <w:rFonts w:ascii="Garamond" w:hAnsi="Garamond" w:cs="Times New Roman"/>
          <w:color w:val="000000"/>
          <w:sz w:val="24"/>
          <w:szCs w:val="24"/>
          <w:lang w:val="sq-AL"/>
        </w:rPr>
        <w:t xml:space="preserve">1 të Konventës se të drejtat dhe detyrimet e tij civile nuk ishin përcaktuar nga një “gjykatë e krijuar me ligj”, pasi L.D. (i cili ishte ulur në trupën e KPA-së që gjykoi çështjen e kërkuesit) ishte caktuar në detyrë në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w:t>
      </w:r>
    </w:p>
    <w:p w14:paraId="7199F024" w14:textId="2CB4372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61. Pjesa përkatëse e </w:t>
      </w:r>
      <w:r w:rsidR="003B0AF9" w:rsidRPr="00BE1029">
        <w:rPr>
          <w:rFonts w:ascii="Garamond" w:hAnsi="Garamond" w:cs="Times New Roman"/>
          <w:color w:val="000000"/>
          <w:sz w:val="24"/>
          <w:szCs w:val="24"/>
          <w:lang w:val="sq-AL"/>
        </w:rPr>
        <w:t xml:space="preserve">nenit </w:t>
      </w:r>
      <w:r w:rsidR="003B0AF9">
        <w:rPr>
          <w:rFonts w:ascii="Garamond" w:hAnsi="Garamond" w:cs="Times New Roman"/>
          <w:color w:val="000000"/>
          <w:sz w:val="24"/>
          <w:szCs w:val="24"/>
          <w:lang w:val="sq-AL"/>
        </w:rPr>
        <w:t>6§</w:t>
      </w:r>
      <w:r w:rsidRPr="00BE1029">
        <w:rPr>
          <w:rFonts w:ascii="Garamond" w:hAnsi="Garamond" w:cs="Times New Roman"/>
          <w:color w:val="000000"/>
          <w:sz w:val="24"/>
          <w:szCs w:val="24"/>
          <w:lang w:val="sq-AL"/>
        </w:rPr>
        <w:t>1 të Konventës parashikon</w:t>
      </w:r>
      <w:r w:rsidR="003B0AF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më poshtë:</w:t>
      </w:r>
    </w:p>
    <w:p w14:paraId="140E1A1E" w14:textId="18B5D99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“Çdo person ka të drejtë që çështja e tij të dëgjohet drejtësisht, publikisht dhe brenda një afati të arsyeshëm nga një gjykatë e pavarur dhe e paanshme, e krijuar me ligj, e cila do të vendosë si për mosmarrëveshjet në lidhje me të drejtat dhe detyrimet e tij të natyrës civile, ashtu edhe për bazueshmërinë e çdo akuze penale në ngarkim të tij.”</w:t>
      </w:r>
      <w:r w:rsidR="003B0AF9">
        <w:rPr>
          <w:rFonts w:ascii="Garamond" w:hAnsi="Garamond" w:cs="Times New Roman"/>
          <w:color w:val="000000"/>
          <w:sz w:val="24"/>
          <w:szCs w:val="24"/>
          <w:lang w:val="sq-AL"/>
        </w:rPr>
        <w:t>.</w:t>
      </w:r>
    </w:p>
    <w:p w14:paraId="0A80FA45" w14:textId="7D5543D6"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Pranueshmëria </w:t>
      </w:r>
    </w:p>
    <w:p w14:paraId="5A236591" w14:textId="03A41079"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Parashtrimet e palëve</w:t>
      </w:r>
    </w:p>
    <w:p w14:paraId="5B9923E6" w14:textId="187A8855" w:rsidR="00A43DB1" w:rsidRPr="00BE1029" w:rsidRDefault="00A43DB1" w:rsidP="00C1145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62. Qeveria parashtroi</w:t>
      </w:r>
      <w:r w:rsidR="007C2F60">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sipas praktikës gjyqësore të mirëpërcaktuar të Gjykatës Kushtetuese (shih paragrafin 59 më sipër), kushtetu</w:t>
      </w:r>
      <w:r w:rsidR="00C11451">
        <w:rPr>
          <w:rFonts w:ascii="Garamond" w:hAnsi="Garamond" w:cs="Times New Roman"/>
          <w:color w:val="000000"/>
          <w:sz w:val="24"/>
          <w:szCs w:val="24"/>
          <w:lang w:val="sq-AL"/>
        </w:rPr>
        <w:t>të</w:t>
      </w:r>
      <w:r w:rsidRPr="00BE1029">
        <w:rPr>
          <w:rFonts w:ascii="Garamond" w:hAnsi="Garamond" w:cs="Times New Roman"/>
          <w:color w:val="000000"/>
          <w:sz w:val="24"/>
          <w:szCs w:val="24"/>
          <w:lang w:val="sq-AL"/>
        </w:rPr>
        <w:t xml:space="preserve">shmëria e akteve (jo rregullatorë) individual – duke përfshirë vendimin e Parlamentit për emërimin e anëtarit konkret të KPA-së në çështjen e ankuesit – duhej të ishte kundërshtuar në gjykatat administrative të zakonshme në vend që të kundërshtohej në </w:t>
      </w:r>
      <w:r w:rsidRPr="00BE1029">
        <w:rPr>
          <w:rFonts w:ascii="Garamond" w:hAnsi="Garamond" w:cs="Times New Roman"/>
          <w:color w:val="000000"/>
          <w:sz w:val="24"/>
          <w:szCs w:val="24"/>
          <w:lang w:val="sq-AL"/>
        </w:rPr>
        <w:lastRenderedPageBreak/>
        <w:t xml:space="preserve">Gjykatën Kushtetuese. Duke qenë se ankuesi nuk i kishte ndërmarrë këto procedura, sipas këndvështrimit të Qeverisë, ai nuk kishte shteruar mjete e disponueshme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B6ABE" w:rsidRPr="00BE1029">
        <w:rPr>
          <w:rFonts w:ascii="Garamond" w:hAnsi="Garamond" w:cs="Times New Roman"/>
          <w:color w:val="000000"/>
          <w:sz w:val="24"/>
          <w:szCs w:val="24"/>
          <w:lang w:val="sq-AL"/>
        </w:rPr>
        <w:t xml:space="preserve"> </w:t>
      </w:r>
    </w:p>
    <w:p w14:paraId="1D0317D5" w14:textId="42F2573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63. Gjithashtu, Qeveria deklaronte se ankesa e kërkuesit ishte haptazi e pambështetur.</w:t>
      </w:r>
      <w:r w:rsidR="00BB6ABE" w:rsidRPr="00BE1029">
        <w:rPr>
          <w:rFonts w:ascii="Garamond" w:hAnsi="Garamond" w:cs="Times New Roman"/>
          <w:color w:val="000000"/>
          <w:sz w:val="24"/>
          <w:szCs w:val="24"/>
          <w:lang w:val="sq-AL"/>
        </w:rPr>
        <w:t xml:space="preserve"> </w:t>
      </w:r>
    </w:p>
    <w:p w14:paraId="1AB601BA" w14:textId="7EDE0B4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64. Ankuesi parashtroi se ai i kishte shteruar të gjitha mjetet e disponueshme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duke ngritur më herët në mënyrë të veçantë çështjen e emërimit të paligjshëm të gjyqtarit L.D., respektivisht në KPA dhe në Gjykatën Kushtetuese, ku të dyja kishin refuzuar të shqyrtonin pretendimet e tij. Ai argumentoi se gjykatat administrative nuk kishin juridiksion për të vendosur nëse një gjyqtar ishte caktuar në KPA</w:t>
      </w:r>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përputhje me ligjin, dhe theksoi se praktika gjyqësore kushtetuese, e cituar nga Qeveria konkrete, kishte lidhje me një kundërshtim ndaj emërimit të një zyrtari të një organi administrativ, dhe për këtë arsye nuk kishte lidhje me çështjen konkrete. </w:t>
      </w:r>
    </w:p>
    <w:p w14:paraId="1472D758" w14:textId="3CFE23A6"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Vlerësimi i Gjykatës</w:t>
      </w:r>
    </w:p>
    <w:p w14:paraId="0F44BD3D" w14:textId="2DD351B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65. Paraprakisht, palët nuk kundërshtuan, dhe Gjykata dakordësohet se </w:t>
      </w:r>
      <w:r w:rsidR="0038204E"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 § 1 i Konventës zbatohet në këtë aspekt civil të procedurave për rivlerësimin e ankuesit (shih </w:t>
      </w:r>
      <w:r w:rsidRPr="00BE1029">
        <w:rPr>
          <w:rFonts w:ascii="Garamond" w:hAnsi="Garamond" w:cs="Times New Roman"/>
          <w:i/>
          <w:iCs/>
          <w:color w:val="000000"/>
          <w:sz w:val="24"/>
          <w:szCs w:val="24"/>
          <w:lang w:val="sq-AL"/>
        </w:rPr>
        <w:t xml:space="preserve">Xhoxhaj kundër Shqipërisë, </w:t>
      </w:r>
      <w:r w:rsidRPr="00BE1029">
        <w:rPr>
          <w:rFonts w:ascii="Garamond" w:hAnsi="Garamond" w:cs="Times New Roman"/>
          <w:color w:val="000000"/>
          <w:sz w:val="24"/>
          <w:szCs w:val="24"/>
          <w:lang w:val="sq-AL"/>
        </w:rPr>
        <w:t xml:space="preserve">nr. 15227/19, § 9 </w:t>
      </w:r>
      <w:r w:rsidR="0038204E"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2021). </w:t>
      </w:r>
    </w:p>
    <w:p w14:paraId="5B1C89ED" w14:textId="242F16D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66. Për t’u kthyer te shterimi i mjeteve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Gjykata përsërit se rregulli referuar në </w:t>
      </w:r>
      <w:r w:rsidR="0038204E"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 1 të Konventës i detyron personat që kërkojnë të paraqesin një çështje kundër Shtetit përpara një organi gjyqësor ndërkombëtar të përdorin fillimisht mjetet e garantuara nga sistemi ligjor kombëtar, duke i përjashtuar </w:t>
      </w:r>
      <w:r w:rsidRPr="00843B55">
        <w:rPr>
          <w:rFonts w:ascii="Garamond" w:hAnsi="Garamond" w:cs="Times New Roman"/>
          <w:color w:val="000000"/>
          <w:sz w:val="24"/>
          <w:szCs w:val="24"/>
          <w:lang w:val="sq-AL"/>
        </w:rPr>
        <w:t>Shtetet,</w:t>
      </w:r>
      <w:r w:rsidRPr="00BE1029">
        <w:rPr>
          <w:rFonts w:ascii="Garamond" w:hAnsi="Garamond" w:cs="Times New Roman"/>
          <w:color w:val="000000"/>
          <w:sz w:val="24"/>
          <w:szCs w:val="24"/>
          <w:lang w:val="sq-AL"/>
        </w:rPr>
        <w:t xml:space="preserve"> në këtë mënyrë, nga detyrimi që të përgjigjen përpara një organi ndërkombëtar për aktet e tyre përpara se të kenë përdorur mundësinë për t’i zgjidhur çështjet në mënyrën e duhur në sistemet e tyre ligjore. Për të respektuar rregullin, një ankuesi i duhet ofruar rekursi i zakonshëm ndaj mjeteve që janë të disponueshme dhe të mjaftueshme për të përballuar zgjidhjen për shkeljet e pretenduara. Ekzistenca e mjeteve konkrete duhet të jetë mjaftueshëm e sigurt jo vetëm në teori, por edhe në praktikë, pasi në të kundërt atyre do t’iu mungojë aksesueshmëria dhe efikasiteti i nevojshëm (shih </w:t>
      </w:r>
      <w:r w:rsidRPr="00BE1029">
        <w:rPr>
          <w:rFonts w:ascii="Garamond" w:hAnsi="Garamond" w:cs="Times New Roman"/>
          <w:i/>
          <w:iCs/>
          <w:color w:val="000000"/>
          <w:sz w:val="24"/>
          <w:szCs w:val="24"/>
          <w:lang w:val="sq-AL"/>
        </w:rPr>
        <w:t xml:space="preserve">Vučković dhe të </w:t>
      </w:r>
      <w:r w:rsidRPr="00843B55">
        <w:rPr>
          <w:rFonts w:ascii="Garamond" w:hAnsi="Garamond" w:cs="Times New Roman"/>
          <w:i/>
          <w:iCs/>
          <w:color w:val="000000"/>
          <w:sz w:val="24"/>
          <w:szCs w:val="24"/>
          <w:lang w:val="sq-AL"/>
        </w:rPr>
        <w:t>Tjerët</w:t>
      </w:r>
      <w:r w:rsidRPr="00BE1029">
        <w:rPr>
          <w:rFonts w:ascii="Garamond" w:hAnsi="Garamond" w:cs="Times New Roman"/>
          <w:i/>
          <w:iCs/>
          <w:color w:val="000000"/>
          <w:sz w:val="24"/>
          <w:szCs w:val="24"/>
          <w:lang w:val="sq-AL"/>
        </w:rPr>
        <w:t xml:space="preserve"> kundër Serbisë</w:t>
      </w:r>
      <w:r w:rsidRPr="00BE1029">
        <w:rPr>
          <w:rFonts w:ascii="Garamond" w:hAnsi="Garamond" w:cs="Times New Roman"/>
          <w:color w:val="000000"/>
          <w:sz w:val="24"/>
          <w:szCs w:val="24"/>
          <w:lang w:val="sq-AL"/>
        </w:rPr>
        <w:t xml:space="preserve"> (kundërshtimi paraprak) [DHM], nr. 17165/11 dhe 29 të tjerë, § 70, 25 </w:t>
      </w:r>
      <w:r w:rsidR="0038204E" w:rsidRPr="00BE1029">
        <w:rPr>
          <w:rFonts w:ascii="Garamond" w:hAnsi="Garamond" w:cs="Times New Roman"/>
          <w:color w:val="000000"/>
          <w:sz w:val="24"/>
          <w:szCs w:val="24"/>
          <w:lang w:val="sq-AL"/>
        </w:rPr>
        <w:t xml:space="preserve">mars </w:t>
      </w:r>
      <w:r w:rsidRPr="00BE1029">
        <w:rPr>
          <w:rFonts w:ascii="Garamond" w:hAnsi="Garamond" w:cs="Times New Roman"/>
          <w:color w:val="000000"/>
          <w:sz w:val="24"/>
          <w:szCs w:val="24"/>
          <w:lang w:val="sq-AL"/>
        </w:rPr>
        <w:t>2014).</w:t>
      </w:r>
    </w:p>
    <w:p w14:paraId="70E42ED9" w14:textId="3FABB1A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67. Është përgjegjësia e Qeverisë që pretendon mosshterimin për t’i provuar Gjykatës së mjeti ishte efektiv, i disponueshëm në teori dhe në praktikë në periudhën përkatëse. Pasi një barrë e tillë të jetë provuar, i mbetet ankuesit të provojë se mjeti i garantuar nga Qeveria faktiki</w:t>
      </w:r>
      <w:r w:rsidR="0038204E">
        <w:rPr>
          <w:rFonts w:ascii="Garamond" w:hAnsi="Garamond" w:cs="Times New Roman"/>
          <w:color w:val="000000"/>
          <w:sz w:val="24"/>
          <w:szCs w:val="24"/>
          <w:lang w:val="sq-AL"/>
        </w:rPr>
        <w:t>sht u shterua</w:t>
      </w:r>
      <w:r w:rsidRPr="00BE1029">
        <w:rPr>
          <w:rFonts w:ascii="Garamond" w:hAnsi="Garamond" w:cs="Times New Roman"/>
          <w:color w:val="000000"/>
          <w:sz w:val="24"/>
          <w:szCs w:val="24"/>
          <w:lang w:val="sq-AL"/>
        </w:rPr>
        <w:t xml:space="preserve"> ose se për disa arsye të caktuar</w:t>
      </w:r>
      <w:r w:rsidR="0038204E">
        <w:rPr>
          <w:rFonts w:ascii="Garamond" w:hAnsi="Garamond" w:cs="Times New Roman"/>
          <w:color w:val="000000"/>
          <w:sz w:val="24"/>
          <w:szCs w:val="24"/>
          <w:lang w:val="sq-AL"/>
        </w:rPr>
        <w:t>a ishte i papërshtatshëm dhe jo</w:t>
      </w:r>
      <w:r w:rsidRPr="00BE1029">
        <w:rPr>
          <w:rFonts w:ascii="Garamond" w:hAnsi="Garamond" w:cs="Times New Roman"/>
          <w:color w:val="000000"/>
          <w:sz w:val="24"/>
          <w:szCs w:val="24"/>
          <w:lang w:val="sq-AL"/>
        </w:rPr>
        <w:t>efektiv në rrethanat konkretet të çështjes, apo se ekzistonin rrethana të veçanta që e çlironin atë nga kjo kërkesë (po aty, § 77).</w:t>
      </w:r>
    </w:p>
    <w:p w14:paraId="7CE62E4B" w14:textId="2B39A3F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68. Duke u kthyer në çështjen konkrete, Gjykata vëren se Qeveria nuk iu përgjigj pretendimit specifik të ankuesit se nuk i takonte një gjykate administrative të shkallës së parë që të vendoste për ligjshmërinë e emërimit të një gjyqtari në KPA, një prej gjykatave më të larta në vend. Gjykata ndan dyshimet e ankuesit për këtë aspekt. </w:t>
      </w:r>
    </w:p>
    <w:p w14:paraId="258AF001" w14:textId="7CDCBFC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69. Sido që të jetë, Gjykata bie dakord me argumentin e ankuesit se praktika gjyqësore tek e cila u mbështet Qeveria nuk duket të jetë e përshtatshme për sa i përkiste shkarkimit nga detyra dhe emërimit nga Parlamenti të një zyrtari të një organi administrativ, ndërsa ankesa e kërkuesit kishte të bënte me një gjyqtar të KPA-së, i cili është një organ gjyqësor dhe kushtetues (shih paragrafin 59 më sipër), gjyqtarët e të cilit kanë statusin e gjyqtarëve të Gjykatës Kushtetuese (shih paragrafin 47 më sipër). Për më tepër, Qeveria nuk citonte ndonjë vendim të dhënë nga një gjykatë administrative e shkallës së parë që të kishte shërbyer si një mjet efektiv në situatat e krahasueshme me atë të ankuesit. </w:t>
      </w:r>
    </w:p>
    <w:p w14:paraId="5E261A79" w14:textId="652D8AF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70. Më i rëndësishëm është fakti se Gjykata vëren që KPA dhe Gjykata Kushtetuese – përpara së cilave ankuesi paraqiti procedurat për këtë çështje, dhe të cilat kishin, në këtë mënyrë, mundësinë të zbatonin praktikën gjyqësore të cituar nga Qeveria</w:t>
      </w:r>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pretendohej të ishte e mirëpërcaktuar – nuk iu referuan asaj jurisprudence apo gjykatës administrative të shkallës së parë si një mjet që mund të përdorej nga ankuesi. Qeveria nuk identifikoi as ndonjë çështje për mosshterim</w:t>
      </w:r>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veprimet e ankuesit. </w:t>
      </w:r>
    </w:p>
    <w:p w14:paraId="76D27210" w14:textId="32DA56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71. Përkundrazi, një nga arsyet referuar nga Gjykata Kushtetuese në kundërshtimin e ankesës së kërkuesit ishte se e drejta e kërkuesit për një “gjykatë të krijuar me ligj” garantohej gjatë procesit të rivlerësimit të kryer përpara dhe nga KPA (shih §§ 21 dhe 24 të vendimit të Gjykatës Kushtetuese të paraqitur në paragrafin 43 më sipër), juridiksioni ekskluziv i së cilës e hoqi çështjen nga juridiksioni i zakonshëm i Gjykatës Kushtetuese. Ky përfundim i Gjykatës Kushtetuese vë në dyshim qëndrimin e Qeverisë se ankesa e kërkuesit në lidhje me të drejtën e tij për një “gjykatë të krijuar me ligj” ishte nën juridiksionin e gjykatave administrative. </w:t>
      </w:r>
    </w:p>
    <w:p w14:paraId="026ED56A" w14:textId="1F867A2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72. Në lidhje me rrethanat, Gjykata nuk mundet të ndjekë pretendimin e Qeverisë se gjykata administrative e shkallës së parë ishte një mjet efektiv për sa i përkiste kundërshtimit të kërkuesit për emërimin e L.D. në KPA (shih paragrafin 67 më sipër). </w:t>
      </w:r>
    </w:p>
    <w:p w14:paraId="70FDF1E3" w14:textId="2B26C6B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73. Për sa më sipër, pretendimi i Qeverisë për mosshfrytëzim rrëzohet. </w:t>
      </w:r>
    </w:p>
    <w:p w14:paraId="59357C04" w14:textId="7E88CBF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74. Gjykata vëren se kjo ankesë nuk është as haptazi e pambështetur dhe as e papranueshme</w:t>
      </w:r>
      <w:r w:rsidR="00420FA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arsyeve të listuara në </w:t>
      </w:r>
      <w:r w:rsidR="00420FA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të Konventës. Për këtë arsye, ajo duhet të shpallet e pranueshme. </w:t>
      </w:r>
    </w:p>
    <w:p w14:paraId="78FBF8E6" w14:textId="28B311E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Meritat </w:t>
      </w:r>
    </w:p>
    <w:p w14:paraId="11C96532" w14:textId="5CEFC6E4"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Parashtrimet e palëve</w:t>
      </w:r>
    </w:p>
    <w:p w14:paraId="71250E40" w14:textId="18424508"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Kërkuesi </w:t>
      </w:r>
    </w:p>
    <w:p w14:paraId="6D063119" w14:textId="20AFF9E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75. Kërkuesi parashtroi se trupa e KPA-së e cila kishte shqyrtuar çështjen e tij nuk përbënte një “gjykatë të krijuar me ligj”</w:t>
      </w:r>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kuptimit të </w:t>
      </w:r>
      <w:r w:rsidR="007F21F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pasi njëri prej gjyqtarëve, më konkretisht L.D., nuk kishte përmbushur kushtet statutore të përzgjedhshmërisë për t’u emëruar në KPA si gjyqtar. </w:t>
      </w:r>
    </w:p>
    <w:p w14:paraId="21966F70" w14:textId="4D819F0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76. Veçanërisht, </w:t>
      </w:r>
      <w:r w:rsidR="007F21F6">
        <w:rPr>
          <w:rFonts w:ascii="Garamond" w:hAnsi="Garamond" w:cs="Times New Roman"/>
          <w:color w:val="000000"/>
          <w:sz w:val="24"/>
          <w:szCs w:val="24"/>
          <w:lang w:val="sq-AL"/>
        </w:rPr>
        <w:t>ankuesi parashtroi se neni 6(1)</w:t>
      </w:r>
      <w:r w:rsidRPr="00BE1029">
        <w:rPr>
          <w:rFonts w:ascii="Garamond" w:hAnsi="Garamond" w:cs="Times New Roman"/>
          <w:color w:val="000000"/>
          <w:sz w:val="24"/>
          <w:szCs w:val="24"/>
          <w:lang w:val="sq-AL"/>
        </w:rPr>
        <w:t xml:space="preserve">(dh) i </w:t>
      </w:r>
      <w:r w:rsidR="007F21F6" w:rsidRPr="00BE1029">
        <w:rPr>
          <w:rFonts w:ascii="Garamond" w:hAnsi="Garamond" w:cs="Times New Roman"/>
          <w:color w:val="000000"/>
          <w:sz w:val="24"/>
          <w:szCs w:val="24"/>
          <w:lang w:val="sq-AL"/>
        </w:rPr>
        <w:t xml:space="preserve">ligjit për rivlerësimin </w:t>
      </w:r>
      <w:r w:rsidRPr="00BE1029">
        <w:rPr>
          <w:rFonts w:ascii="Garamond" w:hAnsi="Garamond" w:cs="Times New Roman"/>
          <w:color w:val="000000"/>
          <w:sz w:val="24"/>
          <w:szCs w:val="24"/>
          <w:lang w:val="sq-AL"/>
        </w:rPr>
        <w:t>parashikonte se kandidatët</w:t>
      </w:r>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ishin shkarkuar më herët nga detyra nuk mund të emëroheshin si gjyqtarë të KPA-së; për këtë arsye, L.D. i cili ishte shkarkuar nga detyra si gjyqtar i Gjykatës së Rrethit Tiranë në vitin 1997 nuk e kishte përmbushur atë kusht dhe për pasojë, ishte emëruar në shkelje të ligjit. </w:t>
      </w:r>
    </w:p>
    <w:p w14:paraId="233DF022" w14:textId="00BE76B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77. Për më tepër, ankuesi parashtronte se L.D. nuk kishte përmbushur një numër kriteresh të tjera për përzgjedhshmërinë</w:t>
      </w:r>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kohëzgjatjen e eksperiencës së tij profesionale, notën mesatare që kishte arritur gjatë studimeve të tij në drejtësi, gradat akademike dhe njohuritë në gjuhën angleze. </w:t>
      </w:r>
    </w:p>
    <w:p w14:paraId="1A321707" w14:textId="51E38D1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78. Për sa më sipër, ankuesi argumentonte se Avokati i Popullit dhe Parlamenti duhet t’i kishin kontrolluar kandidatët për KPA me më shumë kujdes dhe duhet të ishin siguruar se të gjithë anëtarët e KPA-së kishin një nivel të lartë të integritetit moral dhe profesional, për shkak të pushtetit të tyre për të vendosur në lidhje me ndërprerjen e karrierave të magjistratëve të cilët kishin shërbyer për shumë vite në sistemin e drejtësisë. Sipas opinionit të ankuesit, kjo ishte e vetmja mënyrë për të garantuar se procesi i rivlerësimit ishte i ligjshëm dhe i besueshëm në sytë e publikut dhe të magjistratëve. </w:t>
      </w:r>
    </w:p>
    <w:p w14:paraId="3302F0A4" w14:textId="415EF73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 xml:space="preserve">b) Qeveria </w:t>
      </w:r>
    </w:p>
    <w:p w14:paraId="4A0695B9" w14:textId="18C93B6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79.</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Qeveria kundërshtoi pohimin e ankuesit se kishte pasur një shkelje të kërkesës për një “gjykatë të krijuar me ligj” në përputhje me </w:t>
      </w:r>
      <w:r w:rsidR="007C006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 1 të Konventës. </w:t>
      </w:r>
    </w:p>
    <w:p w14:paraId="79AAA74E" w14:textId="1245284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80. Qeveri argumentoi se duke qenë se L.D. kishte fshehur faktin se ai nuk kishte përmbushur </w:t>
      </w:r>
      <w:r w:rsidRPr="00BB4ECC">
        <w:rPr>
          <w:rFonts w:ascii="Garamond" w:hAnsi="Garamond" w:cs="Times New Roman"/>
          <w:color w:val="000000"/>
          <w:sz w:val="24"/>
          <w:szCs w:val="24"/>
          <w:lang w:val="sq-AL"/>
        </w:rPr>
        <w:t>kriteret e për</w:t>
      </w:r>
      <w:r w:rsidR="004F0590" w:rsidRPr="00BB4ECC">
        <w:rPr>
          <w:rFonts w:ascii="Garamond" w:hAnsi="Garamond" w:cs="Times New Roman"/>
          <w:color w:val="000000"/>
          <w:sz w:val="24"/>
          <w:szCs w:val="24"/>
          <w:lang w:val="sq-AL"/>
        </w:rPr>
        <w:t>z</w:t>
      </w:r>
      <w:r w:rsidRPr="00BB4ECC">
        <w:rPr>
          <w:rFonts w:ascii="Garamond" w:hAnsi="Garamond" w:cs="Times New Roman"/>
          <w:color w:val="000000"/>
          <w:sz w:val="24"/>
          <w:szCs w:val="24"/>
          <w:lang w:val="sq-AL"/>
        </w:rPr>
        <w:t>gjedhshmërisë</w:t>
      </w:r>
      <w:r w:rsidRPr="00BE1029">
        <w:rPr>
          <w:rFonts w:ascii="Garamond" w:hAnsi="Garamond" w:cs="Times New Roman"/>
          <w:color w:val="000000"/>
          <w:sz w:val="24"/>
          <w:szCs w:val="24"/>
          <w:lang w:val="sq-AL"/>
        </w:rPr>
        <w:t xml:space="preserve"> të parashikuara në </w:t>
      </w:r>
      <w:r w:rsidR="007C006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(dh) të </w:t>
      </w:r>
      <w:r w:rsidR="007C0063" w:rsidRPr="00BE1029">
        <w:rPr>
          <w:rFonts w:ascii="Garamond" w:hAnsi="Garamond" w:cs="Times New Roman"/>
          <w:color w:val="000000"/>
          <w:sz w:val="24"/>
          <w:szCs w:val="24"/>
          <w:lang w:val="sq-AL"/>
        </w:rPr>
        <w:t>ligjit për rivlerësimin</w:t>
      </w:r>
      <w:r w:rsidRPr="00BE1029">
        <w:rPr>
          <w:rFonts w:ascii="Garamond" w:hAnsi="Garamond" w:cs="Times New Roman"/>
          <w:color w:val="000000"/>
          <w:sz w:val="24"/>
          <w:szCs w:val="24"/>
          <w:lang w:val="sq-AL"/>
        </w:rPr>
        <w:t xml:space="preserve">, Avokati i Popullit dhe ONM nuk kishin pasur arsye të kryenin një hetim të detajuar në historikun e karrierës së tij. Në të njëjtën mënyrë, L.D. kishte fshehur shkarkimin e tij të mëparshëm nga detyra kur ishte pyetur specifikisht nga komisioni parlamentar i posaçëm nëse ishte shkarkuar ndonjëherë nga ndonjë detyrë; prandaj, </w:t>
      </w:r>
      <w:r w:rsidRPr="004F0590">
        <w:rPr>
          <w:rFonts w:ascii="Garamond" w:hAnsi="Garamond" w:cs="Times New Roman"/>
          <w:color w:val="000000"/>
          <w:sz w:val="24"/>
          <w:szCs w:val="24"/>
          <w:lang w:val="sq-AL"/>
        </w:rPr>
        <w:t>Parlamenti nuk mund të kritikohej për faktin se e kishte emëruar L.D. në KPA. Sipas këndvështrimit të Qeverisë, fakti</w:t>
      </w:r>
      <w:r w:rsidRPr="00BE1029">
        <w:rPr>
          <w:rFonts w:ascii="Garamond" w:hAnsi="Garamond" w:cs="Times New Roman"/>
          <w:color w:val="000000"/>
          <w:sz w:val="24"/>
          <w:szCs w:val="24"/>
          <w:lang w:val="sq-AL"/>
        </w:rPr>
        <w:t xml:space="preserve"> ndalues për emërimin e L.D. në KPA ishte bërë i ditur vetëm në një fazë të mëvonshme dhe Parlamenti nuk kishte vepruar në mënyrë arbitrare apo të qëllimshme në emërimin e L.D. në KPA. </w:t>
      </w:r>
    </w:p>
    <w:p w14:paraId="22E15805" w14:textId="36DC428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81. Në vijim Qeveria argumentoi se duhej bërë dallimi midis çështjes konkrete dhe çështjes </w:t>
      </w:r>
      <w:r w:rsidRPr="00BE1029">
        <w:rPr>
          <w:rFonts w:ascii="Garamond" w:hAnsi="Garamond" w:cs="Times New Roman"/>
          <w:i/>
          <w:iCs/>
          <w:color w:val="000000"/>
          <w:sz w:val="24"/>
          <w:szCs w:val="24"/>
          <w:lang w:val="sq-AL"/>
        </w:rPr>
        <w:t>Guðmundur Andri Ástráðsson kundër Islandës</w:t>
      </w:r>
      <w:r w:rsidRPr="00BE1029">
        <w:rPr>
          <w:rFonts w:ascii="Garamond" w:hAnsi="Garamond" w:cs="Times New Roman"/>
          <w:color w:val="000000"/>
          <w:sz w:val="24"/>
          <w:szCs w:val="24"/>
          <w:lang w:val="sq-AL"/>
        </w:rPr>
        <w:t xml:space="preserve"> ([DHM], nr. 26374/18, 1 </w:t>
      </w:r>
      <w:r w:rsidR="00CC0179"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2020), pasi nuk kishte pasur ndërhyrje politike në emërimin e L.D. Gjithashtu, Qeveria argumentoi se, në përgjithësi, ishin respektuar rregullat për emërimin e L.D. në KPA, ndërsa shkelja e pretenduar nga ankuesi nuk kishte qenë shumë e rëndë; për këtë arsye, nuk kishte pasur shkelje të ndonjë rregulli themelor</w:t>
      </w:r>
      <w:r w:rsidR="00CC017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procedurën për emërimin e gjyqtarëve. </w:t>
      </w:r>
    </w:p>
    <w:p w14:paraId="39FA74E2" w14:textId="3E12B89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82. Për sa i përket aspektit</w:t>
      </w:r>
      <w:r w:rsidR="00E82A0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pretendimet e ankuesit ishin adresuar nga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Qeveria iu referua kërkesave të paraqitura nga ankuesi në KPA (shih paragrafët 35 dhe 36 më sipër), ankesave të tij kushtetuese dhe penale dhe procedurave disiplinore kundër L.D., duke parashtruar se ishte e qartë se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i kishin adresuar rregullisht pretendimet e ankuesit. </w:t>
      </w:r>
    </w:p>
    <w:p w14:paraId="63D31BC3" w14:textId="77AC3E58"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2. Vlerësimi i Gjykatës </w:t>
      </w:r>
    </w:p>
    <w:p w14:paraId="34DD0605" w14:textId="34D41489"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3. </w:t>
      </w:r>
    </w:p>
    <w:p w14:paraId="1E3CC32A" w14:textId="733F7C8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a) Në lidhje me ndikimin e shkarkimit të mëparshëm nga detyra të L.D. në emërimin e tij të radhës në KPA</w:t>
      </w:r>
    </w:p>
    <w:p w14:paraId="58CB8657" w14:textId="7465E4D6" w:rsidR="00A43DB1" w:rsidRPr="00BE1029" w:rsidRDefault="00A43DB1" w:rsidP="00F1729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i</w:t>
      </w:r>
      <w:r w:rsidR="00F17296" w:rsidRPr="00BE1029">
        <w:rPr>
          <w:rFonts w:ascii="Garamond" w:hAnsi="Garamond" w:cs="Times New Roman"/>
          <w:i/>
          <w:iCs/>
          <w:color w:val="000000"/>
          <w:sz w:val="24"/>
          <w:szCs w:val="24"/>
          <w:lang w:val="sq-AL"/>
        </w:rPr>
        <w:t>.</w:t>
      </w:r>
      <w:r w:rsidRPr="00BE1029">
        <w:rPr>
          <w:rFonts w:ascii="Garamond" w:hAnsi="Garamond" w:cs="Times New Roman"/>
          <w:i/>
          <w:iCs/>
          <w:color w:val="000000"/>
          <w:sz w:val="24"/>
          <w:szCs w:val="24"/>
          <w:lang w:val="sq-AL"/>
        </w:rPr>
        <w:t xml:space="preserve"> Parimet e përgjithshme </w:t>
      </w:r>
    </w:p>
    <w:p w14:paraId="3F956CB7" w14:textId="1689703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83. Në vendimin e saj në çështjen </w:t>
      </w:r>
      <w:r w:rsidRPr="00BE1029">
        <w:rPr>
          <w:rFonts w:ascii="Garamond" w:hAnsi="Garamond" w:cs="Times New Roman"/>
          <w:i/>
          <w:iCs/>
          <w:color w:val="000000"/>
          <w:sz w:val="24"/>
          <w:szCs w:val="24"/>
          <w:lang w:val="sq-AL"/>
        </w:rPr>
        <w:t>Guðmundur Andri Ástráðsson kundër Islandës (</w:t>
      </w:r>
      <w:r w:rsidRPr="00BE1029">
        <w:rPr>
          <w:rFonts w:ascii="Garamond" w:hAnsi="Garamond" w:cs="Times New Roman"/>
          <w:sz w:val="24"/>
          <w:szCs w:val="24"/>
          <w:lang w:val="sq-AL"/>
        </w:rPr>
        <w:t>cituar më sipër, § 218 e në vijim</w:t>
      </w:r>
      <w:r w:rsidRPr="00BE1029">
        <w:rPr>
          <w:rFonts w:ascii="Garamond" w:hAnsi="Garamond" w:cs="Times New Roman"/>
          <w:i/>
          <w:iCs/>
          <w:sz w:val="24"/>
          <w:szCs w:val="24"/>
          <w:lang w:val="sq-AL"/>
        </w:rPr>
        <w:t xml:space="preserve">), </w:t>
      </w:r>
      <w:r w:rsidRPr="00BE1029">
        <w:rPr>
          <w:rFonts w:ascii="Garamond" w:hAnsi="Garamond" w:cs="Times New Roman"/>
          <w:sz w:val="24"/>
          <w:szCs w:val="24"/>
          <w:lang w:val="sq-AL"/>
        </w:rPr>
        <w:t>Dhoma e Madhe e Gjykatës sqaroi fushën e veprimit të, dhe kupti</w:t>
      </w:r>
      <w:r w:rsidR="0094596F">
        <w:rPr>
          <w:rFonts w:ascii="Garamond" w:hAnsi="Garamond" w:cs="Times New Roman"/>
          <w:sz w:val="24"/>
          <w:szCs w:val="24"/>
          <w:lang w:val="sq-AL"/>
        </w:rPr>
        <w:t>min që i jepej, konceptit një “</w:t>
      </w:r>
      <w:r w:rsidRPr="00BE1029">
        <w:rPr>
          <w:rFonts w:ascii="Garamond" w:hAnsi="Garamond" w:cs="Times New Roman"/>
          <w:sz w:val="24"/>
          <w:szCs w:val="24"/>
          <w:lang w:val="sq-AL"/>
        </w:rPr>
        <w:t xml:space="preserve">gjykatë e krijuar me ligj”. Gjykata analizoi komponentët individual të atij koncepti dhe gjykoi se si duhej të interpretoheshin në mënyrë që të reflektohej qëllimi i tij, dhe domosdoshmërisht, të garantohej se mbrojtja që ofronte ishte me të vërtetë efikase. </w:t>
      </w:r>
    </w:p>
    <w:p w14:paraId="62787D26" w14:textId="42438F6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84. Në lidhje me nocionin një “gjykatë”, përveç detyrimeve që lindnin nga praktika gjyqësore e Gjykatës, Gjykata theksoi rëndësinë e padiskutueshme të një procesi rigoroz për emërimin e gjyqtarëve për t’u garantuar se në postet gjyqësore do të emëroheshin kandidatët më të kualifikuar – si në aspektin e kompetencës teknike edhe të integritetit moral. Gjykata nënvizoi se sa më lartë në hierarki të pozicionohej një gjykatë, aq më kërkuese duhej të ishin kriteret e aplikueshme për përzgjedhjen. Në opinionin e Gjykatës, një përzgjedhje e tillë e mbështetur në merita nuk garanton vetëm kapacitetin teknik të një organi gjyqësor në dhënien e drejtësisë si një “gjykatë”, por është e rëndësishme edhe për të siguruar besimin e publikut në gjyqësor (po aty, § 222).</w:t>
      </w:r>
    </w:p>
    <w:p w14:paraId="4365FE62" w14:textId="3FF3DC4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85. Në lidhje me termin “krijuar”, Gjykata konstatoi se procesi për emërimin e gjyqtarëve në mënyrë të domosdoshme përfshinte një element të rëndësishëm të konceptit “krijuar me ligj”, duke pasur në konsideratë rëndësinë e saj themelore për funksionimin e duhur dhe legjitimitetin e gjyqësorit në një </w:t>
      </w:r>
      <w:r w:rsidR="0094596F" w:rsidRPr="00BE1029">
        <w:rPr>
          <w:rFonts w:ascii="Garamond" w:hAnsi="Garamond" w:cs="Times New Roman"/>
          <w:color w:val="000000"/>
          <w:sz w:val="24"/>
          <w:szCs w:val="24"/>
          <w:lang w:val="sq-AL"/>
        </w:rPr>
        <w:t xml:space="preserve">shtet </w:t>
      </w:r>
      <w:r w:rsidRPr="00BE1029">
        <w:rPr>
          <w:rFonts w:ascii="Garamond" w:hAnsi="Garamond" w:cs="Times New Roman"/>
          <w:color w:val="000000"/>
          <w:sz w:val="24"/>
          <w:szCs w:val="24"/>
          <w:lang w:val="sq-AL"/>
        </w:rPr>
        <w:t>demokratik të udhëhequr nga shteti i së drejtës. Në gjykimin e Gjykatës, shkeljet e ligjit që rregullon procesin e emërimeve në gjyqësor mund të sillnin pjesëmarrjen “e parregullt” të gjyqtarit konkret në shqyrtimin e një çështje (po aty, §§ 226</w:t>
      </w:r>
      <w:r w:rsidR="00B656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227). </w:t>
      </w:r>
    </w:p>
    <w:p w14:paraId="3ADCDECD" w14:textId="3C70837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86. Në lidhje me shprehjen “</w:t>
      </w:r>
      <w:r w:rsidRPr="00BE1029">
        <w:rPr>
          <w:rFonts w:ascii="Garamond" w:hAnsi="Garamond" w:cs="Times New Roman"/>
          <w:sz w:val="24"/>
          <w:szCs w:val="24"/>
          <w:lang w:val="sq-AL"/>
        </w:rPr>
        <w:t xml:space="preserve">me ligj”, Gjykata sqaroi se edhe komponenti i tretë nënkuptonte një “gjykatë e krijuar në përputhje me ligjin”. Ajo vlerësoi se ligji respektiv </w:t>
      </w:r>
      <w:r w:rsidR="008A55FD" w:rsidRPr="00BE1029">
        <w:rPr>
          <w:rFonts w:ascii="Garamond" w:hAnsi="Garamond" w:cs="Times New Roman"/>
          <w:sz w:val="24"/>
          <w:szCs w:val="24"/>
          <w:lang w:val="sq-AL"/>
        </w:rPr>
        <w:t>vendës</w:t>
      </w:r>
      <w:r w:rsidRPr="00BE1029">
        <w:rPr>
          <w:rFonts w:ascii="Garamond" w:hAnsi="Garamond" w:cs="Times New Roman"/>
          <w:sz w:val="24"/>
          <w:szCs w:val="24"/>
          <w:lang w:val="sq-AL"/>
        </w:rPr>
        <w:t xml:space="preserve"> për emërimet në gjyqësor duhej të shprehej në terma sa më të qartë të ishte e mundur, në mënyrë që të mos lejoheshin ndërhyrje arbitrare në procesin e emërimit (po aty, §§ 229</w:t>
      </w:r>
      <w:r w:rsidR="0039122E">
        <w:rPr>
          <w:rFonts w:ascii="Garamond" w:hAnsi="Garamond" w:cs="Times New Roman"/>
          <w:sz w:val="24"/>
          <w:szCs w:val="24"/>
          <w:lang w:val="sq-AL"/>
        </w:rPr>
        <w:t>–</w:t>
      </w:r>
      <w:r w:rsidRPr="00BE1029">
        <w:rPr>
          <w:rFonts w:ascii="Garamond" w:hAnsi="Garamond" w:cs="Times New Roman"/>
          <w:sz w:val="24"/>
          <w:szCs w:val="24"/>
          <w:lang w:val="sq-AL"/>
        </w:rPr>
        <w:t xml:space="preserve">230). </w:t>
      </w:r>
    </w:p>
    <w:p w14:paraId="465C3936" w14:textId="2CFADC65" w:rsidR="00A43DB1" w:rsidRPr="00BE1029" w:rsidRDefault="00A43DB1" w:rsidP="006B343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87. Në vijim Gjykata theksoi se edhe pse e drejta për një “gjykatë të krijuar me ligj” ishte një e drejtë e pavarur</w:t>
      </w:r>
      <w:r w:rsidR="006B343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6B3435"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një ndërlidhje shumë e afërt ishte formuluar në praktikën gjyqësore të Gjykatës midis asaj të drejte specifike dhe garancive për “pavarësi” dhe “paanshmëri”. Kërkesat institucionale të </w:t>
      </w:r>
      <w:r w:rsidR="006B3435"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shprehnin qëllimin e zakonshëm për ruajtjen e parimeve themelore të shtetit të së drejtës dhe ndarjen e pushteteve (po aty, §§ 231</w:t>
      </w:r>
      <w:r w:rsidR="006B3435">
        <w:rPr>
          <w:rFonts w:ascii="Garamond" w:hAnsi="Garamond" w:cs="Times New Roman"/>
          <w:sz w:val="24"/>
          <w:szCs w:val="24"/>
          <w:lang w:val="sq-AL"/>
        </w:rPr>
        <w:t>–</w:t>
      </w:r>
      <w:r w:rsidRPr="00BE1029">
        <w:rPr>
          <w:rFonts w:ascii="Garamond" w:hAnsi="Garamond" w:cs="Times New Roman"/>
          <w:color w:val="000000"/>
          <w:sz w:val="24"/>
          <w:szCs w:val="24"/>
          <w:lang w:val="sq-AL"/>
        </w:rPr>
        <w:t xml:space="preserve">233). </w:t>
      </w:r>
    </w:p>
    <w:p w14:paraId="5B0BA52E" w14:textId="01084938" w:rsidR="00A43DB1" w:rsidRPr="00BE1029" w:rsidRDefault="00A43DB1" w:rsidP="00D552A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88. </w:t>
      </w:r>
      <w:r w:rsidRPr="00BE1029">
        <w:rPr>
          <w:rFonts w:ascii="Garamond" w:hAnsi="Garamond" w:cs="Times New Roman"/>
          <w:sz w:val="24"/>
          <w:szCs w:val="24"/>
          <w:lang w:val="sq-AL"/>
        </w:rPr>
        <w:t>Duke pasur parasysh sa më sipër, Gjykata theksoi se parimi i shtetit të së drejtës përfshin një numër parimesh të tjera po aq të rëndësishme dhe mundësisht kundërbalacuese (po aty, §§ 237</w:t>
      </w:r>
      <w:r w:rsidR="006B3435">
        <w:rPr>
          <w:rFonts w:ascii="Garamond" w:hAnsi="Garamond" w:cs="Times New Roman"/>
          <w:sz w:val="24"/>
          <w:szCs w:val="24"/>
          <w:lang w:val="sq-AL"/>
        </w:rPr>
        <w:t>–</w:t>
      </w:r>
      <w:r w:rsidRPr="00BE1029">
        <w:rPr>
          <w:rFonts w:ascii="Garamond" w:hAnsi="Garamond" w:cs="Times New Roman"/>
          <w:sz w:val="24"/>
          <w:szCs w:val="24"/>
          <w:lang w:val="sq-AL"/>
        </w:rPr>
        <w:t xml:space="preserve">240). Këto parime përfshijnë veçanërisht sigurinë ligjore dhe respektin për forcën e </w:t>
      </w:r>
      <w:r w:rsidRPr="00BE1029">
        <w:rPr>
          <w:rFonts w:ascii="Garamond" w:hAnsi="Garamond" w:cs="Times New Roman"/>
          <w:i/>
          <w:iCs/>
          <w:sz w:val="24"/>
          <w:szCs w:val="24"/>
          <w:lang w:val="sq-AL"/>
        </w:rPr>
        <w:t>res judicata</w:t>
      </w:r>
      <w:r w:rsidRPr="00BE1029">
        <w:rPr>
          <w:rFonts w:ascii="Garamond" w:hAnsi="Garamond" w:cs="Times New Roman"/>
          <w:sz w:val="24"/>
          <w:szCs w:val="24"/>
          <w:lang w:val="sq-AL"/>
        </w:rPr>
        <w:t xml:space="preserve">, si edhe parimin e palëvizshmërisë së gjyqtarëve gjatë mandatit të tyre; shmangia nga këto parime mund të justifikohet vetëm në rrethana të jashtëzakonshme dhe të mirëpërcaktuara. </w:t>
      </w:r>
      <w:r w:rsidR="00D552A2">
        <w:rPr>
          <w:rFonts w:ascii="Garamond" w:hAnsi="Garamond" w:cs="Times New Roman"/>
          <w:sz w:val="24"/>
          <w:szCs w:val="24"/>
          <w:lang w:val="sq-AL"/>
        </w:rPr>
        <w:t>U</w:t>
      </w:r>
      <w:r w:rsidRPr="00BE1029">
        <w:rPr>
          <w:rFonts w:ascii="Garamond" w:hAnsi="Garamond" w:cs="Times New Roman"/>
          <w:sz w:val="24"/>
          <w:szCs w:val="24"/>
          <w:lang w:val="sq-AL"/>
        </w:rPr>
        <w:t xml:space="preserve"> takon autoriteteve </w:t>
      </w:r>
      <w:r w:rsidRPr="00BE1029">
        <w:rPr>
          <w:rFonts w:ascii="Garamond" w:hAnsi="Garamond" w:cs="Times New Roman"/>
          <w:sz w:val="24"/>
          <w:szCs w:val="24"/>
          <w:lang w:val="sq-AL"/>
        </w:rPr>
        <w:lastRenderedPageBreak/>
        <w:t xml:space="preserve">kombëtare që në secilën çështje “të përcaktojnë nëse ka një nevojë të domosdoshme – të një karakteri të rëndësishëm dhe detyrues – që justifikon shmangien” nga parimet e sigurisë ligjore dhe të besimit në publik në gjyqësor “në rrethanat e veçanta të një çështje” (po aty, § 240). </w:t>
      </w:r>
    </w:p>
    <w:p w14:paraId="68CCCA5F" w14:textId="79D3BE48" w:rsidR="00A43DB1" w:rsidRPr="00BE1029" w:rsidRDefault="00A43DB1" w:rsidP="00307DA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89. Për të vlerësuar nëse parregullsitë në një procedurë të caktuar për emërime në gjyqësor ishin aq serioze sa të passillnin shkeljen </w:t>
      </w:r>
      <w:r w:rsidRPr="004F0590">
        <w:rPr>
          <w:rFonts w:ascii="Garamond" w:hAnsi="Garamond" w:cs="Times New Roman"/>
          <w:color w:val="000000"/>
          <w:sz w:val="24"/>
          <w:szCs w:val="24"/>
          <w:lang w:val="sq-AL"/>
        </w:rPr>
        <w:t xml:space="preserve">e </w:t>
      </w:r>
      <w:r w:rsidR="00307DA6" w:rsidRPr="004F0590">
        <w:rPr>
          <w:rFonts w:ascii="Garamond" w:hAnsi="Garamond" w:cs="Times New Roman"/>
          <w:color w:val="000000"/>
          <w:sz w:val="24"/>
          <w:szCs w:val="24"/>
          <w:lang w:val="sq-AL"/>
        </w:rPr>
        <w:t>s</w:t>
      </w:r>
      <w:r w:rsidRPr="004F0590">
        <w:rPr>
          <w:rFonts w:ascii="Garamond" w:hAnsi="Garamond" w:cs="Times New Roman"/>
          <w:color w:val="000000"/>
          <w:sz w:val="24"/>
          <w:szCs w:val="24"/>
          <w:lang w:val="sq-AL"/>
        </w:rPr>
        <w:t>ë drejtës</w:t>
      </w:r>
      <w:r w:rsidRPr="00BE1029">
        <w:rPr>
          <w:rFonts w:ascii="Garamond" w:hAnsi="Garamond" w:cs="Times New Roman"/>
          <w:color w:val="000000"/>
          <w:sz w:val="24"/>
          <w:szCs w:val="24"/>
          <w:lang w:val="sq-AL"/>
        </w:rPr>
        <w:t xml:space="preserve"> për një gjykatë të themeluar me ligj, dhe nëse balanca midis parimeve detyruese është prishur nga autoritetet </w:t>
      </w:r>
      <w:r w:rsidR="00307DA6" w:rsidRPr="00BE1029">
        <w:rPr>
          <w:rFonts w:ascii="Garamond" w:hAnsi="Garamond" w:cs="Times New Roman"/>
          <w:color w:val="000000"/>
          <w:sz w:val="24"/>
          <w:szCs w:val="24"/>
          <w:lang w:val="sq-AL"/>
        </w:rPr>
        <w:t>shtetërore</w:t>
      </w:r>
      <w:r w:rsidRPr="00BE1029">
        <w:rPr>
          <w:rFonts w:ascii="Garamond" w:hAnsi="Garamond" w:cs="Times New Roman"/>
          <w:color w:val="000000"/>
          <w:sz w:val="24"/>
          <w:szCs w:val="24"/>
          <w:lang w:val="sq-AL"/>
        </w:rPr>
        <w:t>, Gjykata përgatiti një test matës të përbërë nga tr</w:t>
      </w:r>
      <w:r w:rsidR="00307DA6">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kritere, të përzgjedhura në mënyrë kumulative (po aty, § 243). </w:t>
      </w:r>
    </w:p>
    <w:p w14:paraId="137C9799" w14:textId="6EE38049" w:rsidR="00A43DB1" w:rsidRPr="00BE1029" w:rsidRDefault="00A43DB1" w:rsidP="000463B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90. Fillimisht, në parim, duhet të ekzistojë një shkelje e dukshme e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kuptimin që shkelja duhet të jetë e identifikueshme në mënyrë objektive dhe të vërtetë. Në përcaktimin e këtij aspekti, Gjykata do të mbështetet në interpretimin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307DA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faktin nëse ka pasur një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rast se shkelja nuk është “flagrante” – që do të thotë, nëse konstatimet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nuk mund të konsiderohen si arbitrare ose haptazi të paarsyeshme. Megjithatë, mungesa e një shkeljeje të tillë nuk përjashton mundësinë e shkeljes </w:t>
      </w:r>
      <w:r w:rsidR="00307DA6">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w:t>
      </w:r>
      <w:r w:rsidR="00307DA6">
        <w:rPr>
          <w:rFonts w:ascii="Garamond" w:hAnsi="Garamond" w:cs="Times New Roman"/>
          <w:color w:val="000000"/>
          <w:sz w:val="24"/>
          <w:szCs w:val="24"/>
          <w:lang w:val="sq-AL"/>
        </w:rPr>
        <w:t>t</w:t>
      </w:r>
      <w:r w:rsidRPr="00BE1029">
        <w:rPr>
          <w:rFonts w:ascii="Garamond" w:hAnsi="Garamond" w:cs="Times New Roman"/>
          <w:color w:val="000000"/>
          <w:sz w:val="24"/>
          <w:szCs w:val="24"/>
          <w:lang w:val="sq-AL"/>
        </w:rPr>
        <w:t xml:space="preserve">ë drejtës për një gjykatë të krijuar me ligj, duke qenë se një procedurë e cila duket se është në përputhje me rregullat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gjithsesi mund të sjellë rezultate</w:t>
      </w:r>
      <w:r w:rsidR="000463B7">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nuk janë në përputhje me objektin dhe qëllimin e asaj të drejte. Në një rast të tillë, Gjykata, sipas rastit, duhet të bëjë shqyrtimin e saj sipas kriterit të dytë dhe të tretë të testit, paraqitur në vijim, për të përcaktuar nëse rezultatet e zbatimit të rregullave konkret </w:t>
      </w:r>
      <w:r w:rsidR="008A55FD" w:rsidRPr="00BE1029">
        <w:rPr>
          <w:rFonts w:ascii="Garamond" w:hAnsi="Garamond" w:cs="Times New Roman"/>
          <w:color w:val="000000"/>
          <w:sz w:val="24"/>
          <w:szCs w:val="24"/>
          <w:lang w:val="sq-AL"/>
        </w:rPr>
        <w:t>vendës</w:t>
      </w:r>
      <w:r w:rsidRPr="00BE1029">
        <w:rPr>
          <w:rFonts w:ascii="Garamond" w:hAnsi="Garamond" w:cs="Times New Roman"/>
          <w:sz w:val="24"/>
          <w:szCs w:val="24"/>
          <w:lang w:val="sq-AL"/>
        </w:rPr>
        <w:t xml:space="preserve"> kanë qenë në përputhje me kërkesat specifike të së drejtës për një “gjykatë të krijuar me ligj” sipas kuptimit në Konventë (po aty, §§ 244</w:t>
      </w:r>
      <w:r w:rsidR="000463B7">
        <w:rPr>
          <w:rFonts w:ascii="Garamond" w:hAnsi="Garamond" w:cs="Times New Roman"/>
          <w:sz w:val="24"/>
          <w:szCs w:val="24"/>
          <w:lang w:val="sq-AL"/>
        </w:rPr>
        <w:t>–</w:t>
      </w:r>
      <w:r w:rsidRPr="00BE1029">
        <w:rPr>
          <w:rFonts w:ascii="Garamond" w:hAnsi="Garamond" w:cs="Times New Roman"/>
          <w:sz w:val="24"/>
          <w:szCs w:val="24"/>
          <w:lang w:val="sq-AL"/>
        </w:rPr>
        <w:t xml:space="preserve">245). </w:t>
      </w:r>
    </w:p>
    <w:p w14:paraId="2DD09071" w14:textId="4D07ED9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91. Së dyti, shkelja konkrete duhet të vlerësohet sipas objektit dhe qëllimit të kërkesës për një “gjykatë të krijuar me ligj” – më konkretisht, të garantohet se gjyqësori realizon detyrat e tij i pavarur nga ndërhyrje të parregullta dhe në këtë mënyrë ruan shtetin e së drejtës dhe ndarjen e pushteteve. Sipas rrethanave, shkeljet e një natyre tërësisht teknike</w:t>
      </w:r>
      <w:r w:rsidR="00DB2B7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nuk kanë ndikim në legjitimitetin e procesit të emërimeve duhet të konsiderohen se janë nën pragun konkret. Nga ana tjetër, shkeljet të cilat cenojnë rregullat më themelorë në procedurën e emërimeve (të tillë si</w:t>
      </w:r>
      <w:r w:rsidR="008C38CD">
        <w:rPr>
          <w:rFonts w:ascii="Garamond" w:hAnsi="Garamond" w:cs="Times New Roman"/>
          <w:color w:val="000000"/>
          <w:sz w:val="24"/>
          <w:szCs w:val="24"/>
          <w:lang w:val="sq-AL"/>
        </w:rPr>
        <w:t xml:space="preserve"> kriteret e përzgjedhshmërisë) </w:t>
      </w:r>
      <w:r w:rsidRPr="00BE1029">
        <w:rPr>
          <w:rFonts w:ascii="Garamond" w:hAnsi="Garamond" w:cs="Times New Roman"/>
          <w:color w:val="000000"/>
          <w:sz w:val="24"/>
          <w:szCs w:val="24"/>
          <w:lang w:val="sq-AL"/>
        </w:rPr>
        <w:t>ose shkeljet që mund të dëmtojnë qëllimin dhe ndikimin e kërkesës “të krijuar me ligj” (sipas interpretimit të Gjykatës) duhet të konsiderohen se e shkelin atë kërkesë (po aty, §</w:t>
      </w:r>
      <w:r w:rsidR="00174D6E">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246). </w:t>
      </w:r>
    </w:p>
    <w:p w14:paraId="3541F9F2" w14:textId="5A262CB1" w:rsidR="00A43DB1" w:rsidRPr="00BE1029" w:rsidRDefault="00A43DB1" w:rsidP="00174D6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92. Së treti, shqyrtimi i realizuar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nëse ka ndonjë të tillë, për pasojat ligjore – për sa </w:t>
      </w:r>
      <w:r w:rsidR="00174D6E">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përket të drejtave të një individi sipas Konventës – e një shkeljeje të një rregulli të brendshëm</w:t>
      </w:r>
      <w:r w:rsidR="002F718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emërimet gjyqësore luan një rol të rëndësishëm në përcaktimin nëse një shkelje e tillë ka cenuar të drejtën e aksesit në një “gjykatë të krijuar me ligj”, dhe në këtë mënyrë, bëhet pjesë e vet testimit. Një vlerësim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të efekteve ligjore për një shkelje të tillë duhet të kryhet në mbështetje të praktikës gjyqësore përkatëse të Konventës dhe parimeve që burojnë prej saj (po aty, §§ 248 dhe 250). </w:t>
      </w:r>
    </w:p>
    <w:p w14:paraId="3F1E89E9" w14:textId="274715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93. Gjykata e ka zbatuar testimin e mësipërm në një sërë çështjesh të kohëve të fundit që kanë lidhje me kërkesën në </w:t>
      </w:r>
      <w:r w:rsidR="002F7185"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§1 të Konventës se një gjykatë duhet të krijohet me ligj (shih, çështjet më të fundit, </w:t>
      </w:r>
      <w:r w:rsidRPr="00BE1029">
        <w:rPr>
          <w:rFonts w:ascii="Garamond" w:hAnsi="Garamond" w:cs="Times New Roman"/>
          <w:i/>
          <w:iCs/>
          <w:color w:val="000000"/>
          <w:sz w:val="24"/>
          <w:szCs w:val="24"/>
          <w:lang w:val="sq-AL"/>
        </w:rPr>
        <w:t>Advance Pharma sp. Z o.o kundër Polonisë</w:t>
      </w:r>
      <w:r w:rsidRPr="00BE1029">
        <w:rPr>
          <w:rFonts w:ascii="Garamond" w:hAnsi="Garamond" w:cs="Times New Roman"/>
          <w:color w:val="000000"/>
          <w:sz w:val="24"/>
          <w:szCs w:val="24"/>
          <w:lang w:val="sq-AL"/>
        </w:rPr>
        <w:t xml:space="preserve">, nr. 1469/20, § 349, 3 </w:t>
      </w:r>
      <w:r w:rsidR="00B37E46"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2022; </w:t>
      </w:r>
      <w:r w:rsidRPr="00BE1029">
        <w:rPr>
          <w:rFonts w:ascii="Garamond" w:hAnsi="Garamond" w:cs="Times New Roman"/>
          <w:i/>
          <w:iCs/>
          <w:sz w:val="24"/>
          <w:szCs w:val="24"/>
          <w:lang w:val="sq-AL"/>
        </w:rPr>
        <w:t>Dolińska-Ficek dhe Ozimek kundër Polonisë</w:t>
      </w:r>
      <w:r w:rsidRPr="00BE1029">
        <w:rPr>
          <w:rFonts w:ascii="Garamond" w:hAnsi="Garamond" w:cs="Times New Roman"/>
          <w:sz w:val="24"/>
          <w:szCs w:val="24"/>
          <w:lang w:val="sq-AL"/>
        </w:rPr>
        <w:t xml:space="preserve">, nr. 49868/19 dhe 57511/19, § 353, 8 </w:t>
      </w:r>
      <w:r w:rsidR="00B37E46" w:rsidRPr="00BE1029">
        <w:rPr>
          <w:rFonts w:ascii="Garamond" w:hAnsi="Garamond" w:cs="Times New Roman"/>
          <w:sz w:val="24"/>
          <w:szCs w:val="24"/>
          <w:lang w:val="sq-AL"/>
        </w:rPr>
        <w:t xml:space="preserve">nëntor </w:t>
      </w:r>
      <w:r w:rsidRPr="00BE1029">
        <w:rPr>
          <w:rFonts w:ascii="Garamond" w:hAnsi="Garamond" w:cs="Times New Roman"/>
          <w:sz w:val="24"/>
          <w:szCs w:val="24"/>
          <w:lang w:val="sq-AL"/>
        </w:rPr>
        <w:t xml:space="preserve">2021; </w:t>
      </w:r>
      <w:r w:rsidRPr="00BE1029">
        <w:rPr>
          <w:rFonts w:ascii="Garamond" w:hAnsi="Garamond" w:cs="Times New Roman"/>
          <w:i/>
          <w:iCs/>
          <w:sz w:val="24"/>
          <w:szCs w:val="24"/>
          <w:lang w:val="sq-AL"/>
        </w:rPr>
        <w:t>Reczkowicz kundër Polonisë</w:t>
      </w:r>
      <w:r w:rsidRPr="00BE1029">
        <w:rPr>
          <w:rFonts w:ascii="Garamond" w:hAnsi="Garamond" w:cs="Times New Roman"/>
          <w:sz w:val="24"/>
          <w:szCs w:val="24"/>
          <w:lang w:val="sq-AL"/>
        </w:rPr>
        <w:t xml:space="preserve">, nr. 43447/19, § 280, 22 </w:t>
      </w:r>
      <w:r w:rsidR="00B37E46" w:rsidRPr="00BE1029">
        <w:rPr>
          <w:rFonts w:ascii="Garamond" w:hAnsi="Garamond" w:cs="Times New Roman"/>
          <w:sz w:val="24"/>
          <w:szCs w:val="24"/>
          <w:lang w:val="sq-AL"/>
        </w:rPr>
        <w:t xml:space="preserve">korrik </w:t>
      </w:r>
      <w:r w:rsidRPr="00BE1029">
        <w:rPr>
          <w:rFonts w:ascii="Garamond" w:hAnsi="Garamond" w:cs="Times New Roman"/>
          <w:sz w:val="24"/>
          <w:szCs w:val="24"/>
          <w:lang w:val="sq-AL"/>
        </w:rPr>
        <w:t xml:space="preserve">2021; dhe </w:t>
      </w:r>
      <w:r w:rsidRPr="00BE1029">
        <w:rPr>
          <w:rFonts w:ascii="Garamond" w:hAnsi="Garamond" w:cs="Times New Roman"/>
          <w:i/>
          <w:iCs/>
          <w:sz w:val="24"/>
          <w:szCs w:val="24"/>
          <w:lang w:val="sq-AL"/>
        </w:rPr>
        <w:t>Xero Flor</w:t>
      </w:r>
      <w:r w:rsidRPr="00BE1029">
        <w:rPr>
          <w:rFonts w:ascii="Garamond" w:hAnsi="Garamond" w:cs="Times New Roman"/>
          <w:sz w:val="24"/>
          <w:szCs w:val="24"/>
          <w:lang w:val="sq-AL"/>
        </w:rPr>
        <w:t xml:space="preserve"> </w:t>
      </w:r>
      <w:r w:rsidRPr="00BE1029">
        <w:rPr>
          <w:rFonts w:ascii="Garamond" w:hAnsi="Garamond" w:cs="Times New Roman"/>
          <w:i/>
          <w:iCs/>
          <w:sz w:val="24"/>
          <w:szCs w:val="24"/>
          <w:lang w:val="sq-AL"/>
        </w:rPr>
        <w:t xml:space="preserve">w Polsce sp.z o.o. kundër Polonisë, </w:t>
      </w:r>
      <w:r w:rsidRPr="00BE1029">
        <w:rPr>
          <w:rFonts w:ascii="Garamond" w:hAnsi="Garamond" w:cs="Times New Roman"/>
          <w:sz w:val="24"/>
          <w:szCs w:val="24"/>
          <w:lang w:val="sq-AL"/>
        </w:rPr>
        <w:t>nr. 4907/18</w:t>
      </w:r>
      <w:r w:rsidRPr="00BE1029">
        <w:rPr>
          <w:rFonts w:ascii="Garamond" w:hAnsi="Garamond" w:cs="Times New Roman"/>
          <w:i/>
          <w:iCs/>
          <w:sz w:val="24"/>
          <w:szCs w:val="24"/>
          <w:lang w:val="sq-AL"/>
        </w:rPr>
        <w:t xml:space="preserve">, </w:t>
      </w:r>
      <w:r w:rsidRPr="00BE1029">
        <w:rPr>
          <w:rFonts w:ascii="Garamond" w:hAnsi="Garamond" w:cs="Times New Roman"/>
          <w:sz w:val="24"/>
          <w:szCs w:val="24"/>
          <w:lang w:val="sq-AL"/>
        </w:rPr>
        <w:t>§</w:t>
      </w:r>
      <w:r w:rsidRPr="00BE1029">
        <w:rPr>
          <w:rFonts w:ascii="Garamond" w:hAnsi="Garamond" w:cs="Times New Roman"/>
          <w:color w:val="000000"/>
          <w:sz w:val="24"/>
          <w:szCs w:val="24"/>
          <w:lang w:val="sq-AL"/>
        </w:rPr>
        <w:t xml:space="preserve">289, 7 </w:t>
      </w:r>
      <w:r w:rsidR="00B37E46"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2021). </w:t>
      </w:r>
    </w:p>
    <w:p w14:paraId="65B8744F" w14:textId="1083EA43" w:rsidR="00A43DB1" w:rsidRPr="00BE1029" w:rsidRDefault="00F17296"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ii.</w:t>
      </w:r>
      <w:r w:rsidR="00A43DB1" w:rsidRPr="00BE1029">
        <w:rPr>
          <w:rFonts w:ascii="Garamond" w:hAnsi="Garamond" w:cs="Times New Roman"/>
          <w:i/>
          <w:iCs/>
          <w:color w:val="000000"/>
          <w:sz w:val="24"/>
          <w:szCs w:val="24"/>
          <w:lang w:val="sq-AL"/>
        </w:rPr>
        <w:t xml:space="preserve"> Zbatimi i parimeve të mësipërme në çështjen konkrete</w:t>
      </w:r>
    </w:p>
    <w:p w14:paraId="37D27FB9" w14:textId="1E1189EC"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a) Nëse pati një shkelje të qartë të ligjit </w:t>
      </w:r>
      <w:r w:rsidR="008A55FD" w:rsidRPr="00BE1029">
        <w:rPr>
          <w:rFonts w:ascii="Garamond" w:hAnsi="Garamond" w:cs="Times New Roman"/>
          <w:color w:val="000000"/>
          <w:sz w:val="24"/>
          <w:szCs w:val="24"/>
          <w:lang w:val="sq-AL"/>
        </w:rPr>
        <w:t>vendës</w:t>
      </w:r>
    </w:p>
    <w:p w14:paraId="7BC37ABC" w14:textId="79D7760C"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94. Për të përcaktuar nëse u cenua ligji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si rezultat i emërimit të gjyqtarit L.D. në KPA, Gjykata duhet të identifikojë pozicionin 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këtë aspekt. Kështu, Gjykata vëren</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KPA-ja dhe Gjykata Kushtetuese nuk e shqyrtuan këtë aspekt (shih paragrafët 35, 36 dhe 41 më sipër), ndërsa procedurat disiplinore ndaj L.D. u ndërmorën me arsyetimin se ai ishte dënuar për një vepër penale pas emërimit të tij në detyrë (shih paragrafin 16 më sipër); për këtë </w:t>
      </w:r>
      <w:r w:rsidRPr="00BE1029">
        <w:rPr>
          <w:rFonts w:ascii="Garamond" w:hAnsi="Garamond" w:cs="Times New Roman"/>
          <w:color w:val="000000"/>
          <w:sz w:val="24"/>
          <w:szCs w:val="24"/>
          <w:lang w:val="sq-AL"/>
        </w:rPr>
        <w:lastRenderedPageBreak/>
        <w:t xml:space="preserve">arsye, procedurat nuk përcaktuan aspektin specifik nëse emërimi fillestar i L.D. ishte bërë në përputhje me ligjin. Për sa i përket procesit penal kundër L.D., ai kishte të bënte me aspektin nëse ai kishte kryer falsifikim në aplikimin e tij për pozicionin e gjyqtarit në KPA; përsëri, kjo problematikë është e ndryshme nga problematika që ka të bëjë me faktin nëse emërimi i tij ishte i ligjshëm. Në shqyrtimin e elementit </w:t>
      </w:r>
      <w:r w:rsidRPr="00BE1029">
        <w:rPr>
          <w:rFonts w:ascii="Garamond" w:hAnsi="Garamond" w:cs="Times New Roman"/>
          <w:i/>
          <w:iCs/>
          <w:color w:val="000000"/>
          <w:sz w:val="24"/>
          <w:szCs w:val="24"/>
          <w:lang w:val="sq-AL"/>
        </w:rPr>
        <w:t>mens rea</w:t>
      </w:r>
      <w:r w:rsidRPr="00BE1029">
        <w:rPr>
          <w:rFonts w:ascii="Garamond" w:hAnsi="Garamond" w:cs="Times New Roman"/>
          <w:color w:val="000000"/>
          <w:sz w:val="24"/>
          <w:szCs w:val="24"/>
          <w:lang w:val="sq-AL"/>
        </w:rPr>
        <w:t xml:space="preserve"> të akuzës për falsifikim kundër L.D., gjykatat penale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bënë një sërë konstatimesh për faktin nëse L.D. kishte përmbushur kërkesat e ligjit </w:t>
      </w:r>
      <w:r w:rsidR="008A55FD" w:rsidRPr="00BE1029">
        <w:rPr>
          <w:rFonts w:ascii="Garamond" w:hAnsi="Garamond" w:cs="Times New Roman"/>
          <w:color w:val="000000"/>
          <w:sz w:val="24"/>
          <w:szCs w:val="24"/>
          <w:lang w:val="sq-AL"/>
        </w:rPr>
        <w:t>vendës</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aplikimin e tij për pozicionin e gjyqtarit në KPA. Megjithatë, nuk rezulton se gjykatat e zakonshme, duke përfshirë Gjykatën e Lartë, kishin pushtetin të merrnin një vendim për ligjshmërinë e emërimit të L.D., i cili si gjyqtar i KPA-së, kishte statusin e gjyqtarit të Gjykatës Kushtetuese. Duke iu referuar rrethanave, Gjykata vlerëson</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aspekti</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kishte pasur një shkelje të qartë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emërimin e L.D. në KPA</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nuk kishte marrë përgjigje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Sidoqoftë, Gjykata mund të marrë në konsideratë konstatimet kontekstuale të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për këtë aspekt. </w:t>
      </w:r>
    </w:p>
    <w:p w14:paraId="15487B35" w14:textId="2A344A8D"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95. Në vlerësimin e problematikës nëse ka pasur në të vërtetë një shkelje të qartë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Gjykata do të mbajë në konsideratë rrethanat e mëposhtme, të cilat nuk u kundërshtuan nga palët. Së pari, neni 6(1) (dh) </w:t>
      </w:r>
      <w:r w:rsidR="00360A95" w:rsidRPr="00BE1029">
        <w:rPr>
          <w:rFonts w:ascii="Garamond" w:hAnsi="Garamond" w:cs="Times New Roman"/>
          <w:color w:val="000000"/>
          <w:sz w:val="24"/>
          <w:szCs w:val="24"/>
          <w:lang w:val="sq-AL"/>
        </w:rPr>
        <w:t xml:space="preserve">i ligjit për rivlerësimin </w:t>
      </w:r>
      <w:r w:rsidRPr="00BE1029">
        <w:rPr>
          <w:rFonts w:ascii="Garamond" w:hAnsi="Garamond" w:cs="Times New Roman"/>
          <w:color w:val="000000"/>
          <w:sz w:val="24"/>
          <w:szCs w:val="24"/>
          <w:lang w:val="sq-AL"/>
        </w:rPr>
        <w:t>parashikonte</w:t>
      </w:r>
      <w:r w:rsidR="008239A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një kandidat i cili ka qenë subjekt i masës disiplinore të shkarkimit nga detyra në kohën e aplikimit të tij për pozicionin e gjyqtarit në KPA, nuk mund të emërohej në atë pozicion (shih paragrafin 50 më sipër). Sipas rrethanave, emërimi pranë KPA-së i një kandidati i cili nuk përmbushte atë kusht ishte në kundërshtim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Së dyti, L.D. kishte qenë subjekt i masës disiplinore të shkarkimit nga detyra në vitin 1997, për shkelje të ligjit dhe për paaftësi (shih paragrafin 8 më sipër). </w:t>
      </w:r>
    </w:p>
    <w:p w14:paraId="18AB4BF1" w14:textId="57226C72" w:rsidR="00A43DB1" w:rsidRPr="00BE1029" w:rsidRDefault="00A43DB1" w:rsidP="00D47B2B">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96. Një tjetër aspekt i pakundërshtuar midis ankuesit dhe Qeverisë ishte edhe fakti se masa disiplinore kundër L.D. vijonte të ishte në fuqi – që do të thotë se ajo nuk ishte hequr nga të dhënat e tij. Edhe pse Gjykata e Lartë e kishte marrë në konsideratë faktin se masa disiplinore kundër L.D. nuk ishte hequr nga të dhënat e tij, Gjykata thekson se ato konstatime ishin kufizuar brenda qëllimit për të vlerësuar përgjegjësinë penale të L.D. në lidhje me deklaratat e bëra në aplikimin e tij për pozicionin në KPA, dhe jo në ligjshmërinë e emërimit të tij nga Parlamenti, si e tillë. Kjo çështje e fundit do të kërkonte interpretimin e rregullave përkatës të parashikuar në ligjin shqiptar për heqjen nga të dhënat e gjyqtarëve të shkeljeve disiplinore të kryera prej tyre, duke u lexuar së bashku me </w:t>
      </w:r>
      <w:r w:rsidR="008239AC"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(dh) të </w:t>
      </w:r>
      <w:r w:rsidR="008239AC" w:rsidRPr="00BE1029">
        <w:rPr>
          <w:rFonts w:ascii="Garamond" w:hAnsi="Garamond" w:cs="Times New Roman"/>
          <w:color w:val="000000"/>
          <w:sz w:val="24"/>
          <w:szCs w:val="24"/>
          <w:lang w:val="sq-AL"/>
        </w:rPr>
        <w:t>ligjit të rivlerësimit. gjithashtu</w:t>
      </w:r>
      <w:r w:rsidRPr="00BE1029">
        <w:rPr>
          <w:rFonts w:ascii="Garamond" w:hAnsi="Garamond" w:cs="Times New Roman"/>
          <w:color w:val="000000"/>
          <w:sz w:val="24"/>
          <w:szCs w:val="24"/>
          <w:lang w:val="sq-AL"/>
        </w:rPr>
        <w:t xml:space="preserve">, </w:t>
      </w:r>
      <w:r w:rsidR="008239AC"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6(1) (c) i </w:t>
      </w:r>
      <w:r w:rsidR="008239AC"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(shih paragrafin 50 më sipër)</w:t>
      </w:r>
      <w:r w:rsidR="008239A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r w:rsidR="008239AC">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jepte të drejtën kandidatëve për pozicionin e gjyqtarit në një nga organet e </w:t>
      </w:r>
      <w:r w:rsidRPr="001653F3">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 xml:space="preserve">-ut, në rast se gjatë karrierës së tyre ata kishin marrë vlerësime pozitive për aftësitë dhe etikën e tyre profesionale dhe për integritetin e tyre moral, </w:t>
      </w:r>
      <w:r w:rsidR="00D47B2B" w:rsidRPr="00D47B2B">
        <w:rPr>
          <w:rFonts w:ascii="Garamond" w:hAnsi="Garamond" w:cs="Times New Roman"/>
          <w:color w:val="000000"/>
          <w:sz w:val="24"/>
          <w:szCs w:val="24"/>
          <w:lang w:val="sq-AL"/>
        </w:rPr>
        <w:t xml:space="preserve">gjë </w:t>
      </w:r>
      <w:r w:rsidRPr="00D47B2B">
        <w:rPr>
          <w:rFonts w:ascii="Garamond" w:hAnsi="Garamond" w:cs="Times New Roman"/>
          <w:color w:val="000000"/>
          <w:sz w:val="24"/>
          <w:szCs w:val="24"/>
          <w:lang w:val="sq-AL"/>
        </w:rPr>
        <w:t>që vështirë</w:t>
      </w:r>
      <w:r w:rsidRPr="00BE1029">
        <w:rPr>
          <w:rFonts w:ascii="Garamond" w:hAnsi="Garamond" w:cs="Times New Roman"/>
          <w:color w:val="000000"/>
          <w:sz w:val="24"/>
          <w:szCs w:val="24"/>
          <w:lang w:val="sq-AL"/>
        </w:rPr>
        <w:t xml:space="preserve"> se mund të jetë e mundur</w:t>
      </w:r>
      <w:r w:rsidR="00D47B2B">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pasur parasysh shkarkimin e mëparshëm nga detyra për “shkelje të ligjit dhe paaftësi”.</w:t>
      </w:r>
    </w:p>
    <w:p w14:paraId="7E8D0C0D" w14:textId="1B00FCB8"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97. E teksa nuk i takon Gjykatës të japë një interpretim përfundimtar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veçanërisht në mungesë të deklarimeve të qarta dhe autoritare të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është e qartë se shkarkimi i L.D. nga detyra në vitin 1997 si gjyqtar i Gjykatës së Rrethit Tiranë ka ngritur pikëpyetje të rëndësishme për sa i përket ligjshmërisë së emërimit të tij nga Parlamenti në pozicionin e gjyqtarit të KPA-së, gjë e cila u kundërshtua në vijim nga ankuesi gjatë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Për këtë arsye, Gjykata do të procedojë mbi bazën se pretendimi i ankuesit për këtë aspekt ishte për t’u diskutuar dhe mjaftueshëm serioz sa për të krijuar detyrimin për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që ta merrnin në konsideratë këtë problem. </w:t>
      </w:r>
    </w:p>
    <w:p w14:paraId="04145513" w14:textId="0F2A278B" w:rsidR="00A43DB1" w:rsidRPr="00BE1029" w:rsidRDefault="00A43DB1" w:rsidP="004F0590">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98. Për sa më sipër, Gjykata arrin në përfundimin se kërkuesi ngriti një pretendim serioz dhe që duhej të shqyrtohej për një shkelje të qartë të ligjit </w:t>
      </w:r>
      <w:r w:rsidR="00552315">
        <w:rPr>
          <w:rFonts w:ascii="Garamond" w:hAnsi="Garamond" w:cs="Times New Roman"/>
          <w:color w:val="000000"/>
          <w:sz w:val="24"/>
          <w:szCs w:val="24"/>
          <w:lang w:val="sq-AL"/>
        </w:rPr>
        <w:t>vend</w:t>
      </w:r>
      <w:r w:rsidR="004F0590">
        <w:rPr>
          <w:rFonts w:ascii="Garamond" w:hAnsi="Garamond" w:cs="Times New Roman"/>
          <w:color w:val="000000"/>
          <w:sz w:val="24"/>
          <w:szCs w:val="24"/>
          <w:lang w:val="sq-AL"/>
        </w:rPr>
        <w:t>ë</w:t>
      </w:r>
      <w:r w:rsidR="008A55FD" w:rsidRPr="00BE1029">
        <w:rPr>
          <w:rFonts w:ascii="Garamond" w:hAnsi="Garamond" w:cs="Times New Roman"/>
          <w:color w:val="000000"/>
          <w:sz w:val="24"/>
          <w:szCs w:val="24"/>
          <w:lang w:val="sq-AL"/>
        </w:rPr>
        <w:t>s</w:t>
      </w:r>
      <w:r w:rsidR="004F0590">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emërimin e L.D. në KPA. </w:t>
      </w:r>
    </w:p>
    <w:p w14:paraId="5E6F48DC" w14:textId="61E5983E"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b) Nëse shkelja e ligjit </w:t>
      </w:r>
      <w:r w:rsidR="008A55FD" w:rsidRPr="00BE1029">
        <w:rPr>
          <w:rFonts w:ascii="Garamond" w:hAnsi="Garamond" w:cs="Times New Roman"/>
          <w:i/>
          <w:iCs/>
          <w:color w:val="000000"/>
          <w:sz w:val="24"/>
          <w:szCs w:val="24"/>
          <w:lang w:val="sq-AL"/>
        </w:rPr>
        <w:t>vendës</w:t>
      </w:r>
      <w:r w:rsidRPr="00BE1029">
        <w:rPr>
          <w:rFonts w:ascii="Garamond" w:hAnsi="Garamond" w:cs="Times New Roman"/>
          <w:i/>
          <w:iCs/>
          <w:color w:val="000000"/>
          <w:sz w:val="24"/>
          <w:szCs w:val="24"/>
          <w:lang w:val="sq-AL"/>
        </w:rPr>
        <w:t xml:space="preserve"> kishte lidhje me një rregull themelor për procedurën për emërimin e gjyqtarëve</w:t>
      </w:r>
    </w:p>
    <w:p w14:paraId="4F9B65A5" w14:textId="5F5999FE" w:rsidR="00A43DB1" w:rsidRPr="00BE1029" w:rsidRDefault="00A43DB1" w:rsidP="009D7573">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99. Në rastin kur përcaktohet nëse një defekt i caktuar në procesin e emërimeve në gjyqësor ka qenë aq i rëndë sa të shkaktonte një shkelje të së drejtës për “një gjykatë të krijuar me ligj”, i duhet kushtuar vëmendje, midis të tjerash, qëllimit të ligjit që duket se është shkelur – që do të thotë, nëse kërkonte të parandalohej një ndërhyrje e parregullt nga ana e ekzekutivit apo legjislativit në gjyqësor, </w:t>
      </w:r>
      <w:r w:rsidRPr="00BE1029">
        <w:rPr>
          <w:rFonts w:ascii="Garamond" w:hAnsi="Garamond" w:cs="Times New Roman"/>
          <w:color w:val="000000"/>
          <w:sz w:val="24"/>
          <w:szCs w:val="24"/>
          <w:lang w:val="sq-AL"/>
        </w:rPr>
        <w:lastRenderedPageBreak/>
        <w:t>dhe nëse shkelja konkrete dëmtonte vet</w:t>
      </w:r>
      <w:r w:rsidR="00B71CFC">
        <w:rPr>
          <w:rFonts w:ascii="Garamond" w:hAnsi="Garamond" w:cs="Times New Roman"/>
          <w:color w:val="000000"/>
          <w:sz w:val="24"/>
          <w:szCs w:val="24"/>
          <w:lang w:val="sq-AL"/>
        </w:rPr>
        <w:t>ë</w:t>
      </w:r>
      <w:r w:rsidRPr="00BE1029">
        <w:rPr>
          <w:rFonts w:ascii="Garamond" w:hAnsi="Garamond" w:cs="Times New Roman"/>
          <w:color w:val="000000"/>
          <w:sz w:val="24"/>
          <w:szCs w:val="24"/>
          <w:lang w:val="sq-AL"/>
        </w:rPr>
        <w:t xml:space="preserve"> esencën e </w:t>
      </w:r>
      <w:r w:rsidR="009D7573">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drejtës për një “gjykatë të krijuar me ligj” (shih </w:t>
      </w:r>
      <w:r w:rsidRPr="00BE1029">
        <w:rPr>
          <w:rFonts w:ascii="Garamond" w:hAnsi="Garamond" w:cs="Times New Roman"/>
          <w:i/>
          <w:iCs/>
          <w:color w:val="000000"/>
          <w:sz w:val="24"/>
          <w:szCs w:val="24"/>
          <w:lang w:val="sq-AL"/>
        </w:rPr>
        <w:t>Guðmundur Andri Ástráðsson</w:t>
      </w:r>
      <w:r w:rsidRPr="00BE1029">
        <w:rPr>
          <w:rFonts w:ascii="Garamond" w:hAnsi="Garamond" w:cs="Times New Roman"/>
          <w:color w:val="000000"/>
          <w:sz w:val="24"/>
          <w:szCs w:val="24"/>
          <w:lang w:val="sq-AL"/>
        </w:rPr>
        <w:t xml:space="preserve">, cituar më sipër, §§ 226 dhe 225). Në lidhje me këtë, Gjykata ka nënvizuar tashmë se kërkesat për përzgjedhshmërinë në emërimin e gjyqtarëve konsiderohen si rregulla themelorë, shkelja e të cilëve cenon qëllimin dhe ndikimin e kërkesës të “krijuar me ligj” (shih, po aty, § 246). </w:t>
      </w:r>
    </w:p>
    <w:p w14:paraId="17975844" w14:textId="2665D4D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100. Sipas rrethanave, Gjykata do ta përcaktojë këtë pikë sipas qëllimit të rregullit që pretendohet të jetë shkelur – me konkretisht </w:t>
      </w:r>
      <w:r w:rsidR="009D7573"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6(1)(dh) </w:t>
      </w:r>
      <w:r w:rsidR="009D7573" w:rsidRPr="00BE1029">
        <w:rPr>
          <w:rFonts w:ascii="Garamond" w:hAnsi="Garamond" w:cs="Times New Roman"/>
          <w:color w:val="000000"/>
          <w:sz w:val="24"/>
          <w:szCs w:val="24"/>
          <w:lang w:val="sq-AL"/>
        </w:rPr>
        <w:t xml:space="preserve">i ligjit të rivlerësimit. Argumenti </w:t>
      </w:r>
      <w:r w:rsidRPr="00BE1029">
        <w:rPr>
          <w:rFonts w:ascii="Garamond" w:hAnsi="Garamond" w:cs="Times New Roman"/>
          <w:color w:val="000000"/>
          <w:sz w:val="24"/>
          <w:szCs w:val="24"/>
          <w:lang w:val="sq-AL"/>
        </w:rPr>
        <w:t>i Qeverisë</w:t>
      </w:r>
      <w:r w:rsidR="00EF42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janë respektuar rregullat e tjerë që zbatohen për emërimin e gjyqtarëve të KPA</w:t>
      </w:r>
      <w:r w:rsidR="00D86230">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ka një peshë të kufizuar në këtë vlerësim. </w:t>
      </w:r>
    </w:p>
    <w:p w14:paraId="2421DCB5" w14:textId="617D0E35" w:rsidR="00A43DB1" w:rsidRPr="00BE1029" w:rsidRDefault="00A43DB1" w:rsidP="001C65C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101. Gjykata vëren se, me përjashtim të argumentit të sipërpërmendur se janë zbatuar rregullat e tjer</w:t>
      </w:r>
      <w:r w:rsidR="001C65C2">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për emërimin e gjyqtarit L.D. në KPA, Qeveria nuk parashtroi ndonjë koment në lidhje me qëllimin e seksionit 6 (1)(dh) të </w:t>
      </w:r>
      <w:r w:rsidR="001C65C2" w:rsidRPr="00BE1029">
        <w:rPr>
          <w:rFonts w:ascii="Garamond" w:hAnsi="Garamond" w:cs="Times New Roman"/>
          <w:color w:val="000000"/>
          <w:sz w:val="24"/>
          <w:szCs w:val="24"/>
          <w:lang w:val="sq-AL"/>
        </w:rPr>
        <w:t>ligjit të rivlerësimit</w:t>
      </w:r>
      <w:r w:rsidRPr="00BE1029">
        <w:rPr>
          <w:rFonts w:ascii="Garamond" w:hAnsi="Garamond" w:cs="Times New Roman"/>
          <w:color w:val="000000"/>
          <w:sz w:val="24"/>
          <w:szCs w:val="24"/>
          <w:lang w:val="sq-AL"/>
        </w:rPr>
        <w:t xml:space="preserve">; dhe nuk paraqiti as ndonjë arsye se përse ai rregull duhet të konsiderohet si një rregull teknik, shkelja e të cilit nuk do të ishte e ndonjë serioziteti të konsiderueshëm. </w:t>
      </w:r>
    </w:p>
    <w:p w14:paraId="421CC17A" w14:textId="6D4F18E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102. Nga ana tjetër, ankuesi parashtroi – dhe Gjykata ra dakord – se rregulli konkret synonte të ruante legjitimi</w:t>
      </w:r>
      <w:r w:rsidR="001C65C2">
        <w:rPr>
          <w:rFonts w:ascii="Garamond" w:hAnsi="Garamond" w:cs="Times New Roman"/>
          <w:color w:val="000000"/>
          <w:sz w:val="24"/>
          <w:szCs w:val="24"/>
          <w:lang w:val="sq-AL"/>
        </w:rPr>
        <w:t>tetin dhe besimin e publikut te</w:t>
      </w:r>
      <w:r w:rsidRPr="00BE1029">
        <w:rPr>
          <w:rFonts w:ascii="Garamond" w:hAnsi="Garamond" w:cs="Times New Roman"/>
          <w:color w:val="000000"/>
          <w:sz w:val="24"/>
          <w:szCs w:val="24"/>
          <w:lang w:val="sq-AL"/>
        </w:rPr>
        <w:t xml:space="preserve"> procesi i rivlerësimit. Edhe Gjykata priret të jetë dakord me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të cilat – për aq sa ato e trajtuan këtë çështje sipas kontekstit të procesit penal ndaj L.D. – bënë deklarata të ngjashme në lidhje me rëndësinë e kërkesës për përzgjedhshmërinë të parashikuar në </w:t>
      </w:r>
      <w:r w:rsidR="001C65C2"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1C65C2"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 xml:space="preserve">(shih paragrafët 25 dhe 29 më sipër). Është e qartë se emërimi i një personi i cili nuk përmbush kriteret statutore për një post të caktuar në gjyqësor mund të dëmtojë legjitimitetin e funksionit gjyqësor në fjalë. Sipas Gjykatës, rëndësia e kritereve statutore të përzgjedhshmërisë për gjyqtarët është e qartë edhe në </w:t>
      </w:r>
      <w:r w:rsidR="00946DAA" w:rsidRPr="00BE1029">
        <w:rPr>
          <w:rFonts w:ascii="Garamond" w:hAnsi="Garamond" w:cs="Times New Roman"/>
          <w:color w:val="000000"/>
          <w:sz w:val="24"/>
          <w:szCs w:val="24"/>
          <w:lang w:val="sq-AL"/>
        </w:rPr>
        <w:t xml:space="preserve">ligjin </w:t>
      </w:r>
      <w:r w:rsidRPr="00BE1029">
        <w:rPr>
          <w:rFonts w:ascii="Garamond" w:hAnsi="Garamond" w:cs="Times New Roman"/>
          <w:color w:val="000000"/>
          <w:sz w:val="24"/>
          <w:szCs w:val="24"/>
          <w:lang w:val="sq-AL"/>
        </w:rPr>
        <w:t xml:space="preserve">për </w:t>
      </w:r>
      <w:r w:rsidR="00946DAA" w:rsidRPr="00BE1029">
        <w:rPr>
          <w:rFonts w:ascii="Garamond" w:hAnsi="Garamond" w:cs="Times New Roman"/>
          <w:color w:val="000000"/>
          <w:sz w:val="24"/>
          <w:szCs w:val="24"/>
          <w:lang w:val="sq-AL"/>
        </w:rPr>
        <w:t>gjyqtarët dhe prokurorët</w:t>
      </w:r>
      <w:r w:rsidRPr="00BE1029">
        <w:rPr>
          <w:rFonts w:ascii="Garamond" w:hAnsi="Garamond" w:cs="Times New Roman"/>
          <w:color w:val="000000"/>
          <w:sz w:val="24"/>
          <w:szCs w:val="24"/>
          <w:lang w:val="sq-AL"/>
        </w:rPr>
        <w:t>, i cili parashikon se mosrespektimi i kritereve të përzgjedhshmërisë çon në ndërprerjen e mandatit të magjistratit në datën e vendimit</w:t>
      </w:r>
      <w:r w:rsidR="00946DA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e</w:t>
      </w:r>
      <w:r w:rsidR="00946DAA">
        <w:rPr>
          <w:rFonts w:ascii="Garamond" w:hAnsi="Garamond" w:cs="Times New Roman"/>
          <w:color w:val="000000"/>
          <w:sz w:val="24"/>
          <w:szCs w:val="24"/>
          <w:lang w:val="sq-AL"/>
        </w:rPr>
        <w:t xml:space="preserve"> njeh një mosrespektim të tillë</w:t>
      </w:r>
      <w:r w:rsidRPr="00BE1029">
        <w:rPr>
          <w:rFonts w:ascii="Garamond" w:hAnsi="Garamond" w:cs="Times New Roman"/>
          <w:color w:val="000000"/>
          <w:sz w:val="24"/>
          <w:szCs w:val="24"/>
          <w:lang w:val="sq-AL"/>
        </w:rPr>
        <w:t xml:space="preserve"> dhe pavarësisht periudhës që prej emërimit të parë (shih paragrafin 53 më sipër). </w:t>
      </w:r>
    </w:p>
    <w:p w14:paraId="64374839" w14:textId="223EEE1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103. Në vijim, Gjykata vlerëson se për sa ka të bëjë me procedurat e rivlerësimit, KPA</w:t>
      </w:r>
      <w:r w:rsidR="00946DAA">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është gjykata më e lartë në vend. Sipas rrethanave, emërimi në KPA i një kandidati</w:t>
      </w:r>
      <w:r w:rsidR="00FC7CC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më herët është shkarkuar nga detyra për një shkelje të ligjit dhe për paaftësi (shih paragrafët 9 dhe 51 më sipër) vështirë se mund të pajtohet me kërkesën</w:t>
      </w:r>
      <w:r w:rsidR="00FC7CC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sa më i lartë të jetë niveli i një gjykate në hierarkinë e gjyqësorit, më kërkuese duhet të jenë kriteret e zbatueshme të përzgjedhjes (shih paragrafin 84 më sipër). </w:t>
      </w:r>
    </w:p>
    <w:p w14:paraId="37DAA9EB" w14:textId="47B5754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104. Edhe pse Qeveria nuk e kundërshtoi konstatimin se L.D. ishte emëruar në kundërshtim me </w:t>
      </w:r>
      <w:r w:rsidR="00FC7CCE"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FC7CCE" w:rsidRPr="00BE1029">
        <w:rPr>
          <w:rFonts w:ascii="Garamond" w:hAnsi="Garamond" w:cs="Times New Roman"/>
          <w:color w:val="000000"/>
          <w:sz w:val="24"/>
          <w:szCs w:val="24"/>
          <w:lang w:val="sq-AL"/>
        </w:rPr>
        <w:t>ligjit të rivlerësimit</w:t>
      </w:r>
      <w:r w:rsidRPr="00BE1029">
        <w:rPr>
          <w:rFonts w:ascii="Garamond" w:hAnsi="Garamond" w:cs="Times New Roman"/>
          <w:color w:val="000000"/>
          <w:sz w:val="24"/>
          <w:szCs w:val="24"/>
          <w:lang w:val="sq-AL"/>
        </w:rPr>
        <w:t xml:space="preserve">, ajo argumentoi se nuk kishte pasur shkelje të së drejtës së kërkuesit për një “gjykatë të krijuar me ligj”, pasi L.D. nuk kishte treguar për masën disiplinore ndaj tij dhe autoritetet nuk kishin pasur dijeni për një gjë të tillë. Në vijim, Qeveria shprehej se në ndryshim nga rrethanat në çështjen </w:t>
      </w:r>
      <w:r w:rsidRPr="00BE1029">
        <w:rPr>
          <w:rFonts w:ascii="Garamond" w:hAnsi="Garamond" w:cs="Times New Roman"/>
          <w:i/>
          <w:iCs/>
          <w:color w:val="000000"/>
          <w:sz w:val="24"/>
          <w:szCs w:val="24"/>
          <w:lang w:val="sq-AL"/>
        </w:rPr>
        <w:t>Guðmundur Andri Ástráðsson</w:t>
      </w:r>
      <w:r w:rsidRPr="00BE1029">
        <w:rPr>
          <w:rFonts w:ascii="Garamond" w:hAnsi="Garamond" w:cs="Times New Roman"/>
          <w:color w:val="000000"/>
          <w:sz w:val="24"/>
          <w:szCs w:val="24"/>
          <w:lang w:val="sq-AL"/>
        </w:rPr>
        <w:t xml:space="preserve">, në çështjen konkrete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nuk kishin ndërhyrë në procedurën e emërimit të L.D. në mënyrë të tillë që do të vinte në pikëpyetje pavarësinë e tij. Si pasojë, Gjykata do t’i adresojë këto argumente me radhë. </w:t>
      </w:r>
    </w:p>
    <w:p w14:paraId="5AB575D6" w14:textId="51D93E71" w:rsidR="00A43DB1" w:rsidRPr="00BE1029" w:rsidRDefault="00A43DB1" w:rsidP="00B8372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105. Në lidhje me argumentin e Qeverisë</w:t>
      </w:r>
      <w:r w:rsidR="00763F1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padijenia e autoriteteve për shkarkimin e L.D nga detyra e tij si gjyqtar i Gjykatës së Rrethit Tiranë në vitin 1997 duhet të konsiderohet se përjashton mundësinë që autoritetet të kenë shkelur të drejtën e ankuesit për një “gjykatë të krijuar me ligj”, Gjykata vlerëson se Shtetet kanë një detyrim të përgjithshëm për të organizuar sistemet e tyre ligjore</w:t>
      </w:r>
      <w:r w:rsidR="00B8372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mënyrë të tillë që të sigurojnë pajtueshmërinë me kërkesat e </w:t>
      </w:r>
      <w:r w:rsidR="00B8372D" w:rsidRPr="00BE1029">
        <w:rPr>
          <w:rFonts w:ascii="Garamond" w:hAnsi="Garamond" w:cs="Times New Roman"/>
          <w:color w:val="000000"/>
          <w:sz w:val="24"/>
          <w:szCs w:val="24"/>
          <w:lang w:val="sq-AL"/>
        </w:rPr>
        <w:t xml:space="preserve">nenit </w:t>
      </w:r>
      <w:r w:rsidR="00B8372D">
        <w:rPr>
          <w:rFonts w:ascii="Garamond" w:hAnsi="Garamond" w:cs="Times New Roman"/>
          <w:color w:val="000000"/>
          <w:sz w:val="24"/>
          <w:szCs w:val="24"/>
          <w:lang w:val="sq-AL"/>
        </w:rPr>
        <w:t xml:space="preserve">6 </w:t>
      </w:r>
      <w:r w:rsidRPr="00BE1029">
        <w:rPr>
          <w:rFonts w:ascii="Garamond" w:hAnsi="Garamond" w:cs="Times New Roman"/>
          <w:color w:val="000000"/>
          <w:sz w:val="24"/>
          <w:szCs w:val="24"/>
          <w:lang w:val="sq-AL"/>
        </w:rPr>
        <w:t xml:space="preserve">§ 1 (shih, </w:t>
      </w:r>
      <w:r w:rsidRPr="00BE1029">
        <w:rPr>
          <w:rFonts w:ascii="Garamond" w:hAnsi="Garamond" w:cs="Times New Roman"/>
          <w:i/>
          <w:iCs/>
          <w:color w:val="000000"/>
          <w:sz w:val="24"/>
          <w:szCs w:val="24"/>
          <w:lang w:val="sq-AL"/>
        </w:rPr>
        <w:t xml:space="preserve">mutatis mutandis, Krastanov kundër Bullgarisë, </w:t>
      </w:r>
      <w:r w:rsidRPr="00BE1029">
        <w:rPr>
          <w:rFonts w:ascii="Garamond" w:hAnsi="Garamond" w:cs="Times New Roman"/>
          <w:color w:val="000000"/>
          <w:sz w:val="24"/>
          <w:szCs w:val="24"/>
          <w:lang w:val="sq-AL"/>
        </w:rPr>
        <w:t xml:space="preserve">nr. 50222/99, § 74, 30 </w:t>
      </w:r>
      <w:r w:rsidR="00B8372D" w:rsidRPr="00BE1029">
        <w:rPr>
          <w:rFonts w:ascii="Garamond" w:hAnsi="Garamond" w:cs="Times New Roman"/>
          <w:color w:val="000000"/>
          <w:sz w:val="24"/>
          <w:szCs w:val="24"/>
          <w:lang w:val="sq-AL"/>
        </w:rPr>
        <w:t xml:space="preserve">shtator </w:t>
      </w:r>
      <w:r w:rsidRPr="00BE1029">
        <w:rPr>
          <w:rFonts w:ascii="Garamond" w:hAnsi="Garamond" w:cs="Times New Roman"/>
          <w:color w:val="000000"/>
          <w:sz w:val="24"/>
          <w:szCs w:val="24"/>
          <w:lang w:val="sq-AL"/>
        </w:rPr>
        <w:t xml:space="preserve">2004). Për këtë arsye, </w:t>
      </w:r>
      <w:r w:rsidR="00B8372D">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takonte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të përdornin të gjitha mjetet që kishin në dispozicion për të garantuar se gjyqtarët e KPA</w:t>
      </w:r>
      <w:r w:rsidR="006D24DC">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përmbushnin kërkesat statutore për pozicionin e tyre. Në lidhje me këtë, Gjykata bie dakord me pohimet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se autoritetet përkatëse kishin detyrimin të verifikonin</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aplikimi i </w:t>
      </w:r>
      <w:r w:rsidRPr="00BE1029">
        <w:rPr>
          <w:rFonts w:ascii="Garamond" w:hAnsi="Garamond" w:cs="Times New Roman"/>
          <w:color w:val="000000"/>
          <w:sz w:val="24"/>
          <w:szCs w:val="24"/>
          <w:lang w:val="sq-AL"/>
        </w:rPr>
        <w:lastRenderedPageBreak/>
        <w:t xml:space="preserve">L.D. për pozicionin e gjyqtarit në KPA respektonte kërkesat statutore për pozicionin e tij (shih paragrafët 26 dhe 28 më sipër). </w:t>
      </w:r>
    </w:p>
    <w:p w14:paraId="7E7667EF" w14:textId="163D4DC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106. Gjithashtu, Qeveria nuk iu referua ndonjë vështirësie për të verifikuar nëse L.D. kishte qenë subjekt i masës disiplinore të shkarkimit nga detyra në të shkuarën. Nga ana tjetër, ai informacion ishte në të dhënat zyrtare dhe ishte cituar jo më vonë se</w:t>
      </w:r>
      <w:r w:rsidR="006D24DC">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sa në vitin 2016 në skualifikimin e L.D. nga pozicioni i gjyqtarit të Gjykatës së Rrethit Tiranë (shih paragrafin 9 më sipër). Gjithashtu, një anëtar i komisionit të posaçëm parlamentar i drejtoi L.D një pyetje specifikisht të lidhur me largimin e tij të mëhershëm nga gjyqësori (shih paragrafin 13 më sipër). </w:t>
      </w:r>
    </w:p>
    <w:p w14:paraId="1F7E29D2" w14:textId="48DD347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107. Në lidhje me argumentin se pavarësia e L.D nuk vihej në pikëpyetje nga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Gjykata vlerëson se kërkesat që një gjykatë të jetë e “krijuar me ligj” dhe “e pavarur” përbëjnë të drejta të pavarura. Fakti se në disa raste ato shqyrtohen të lidhura me njëra-tjetrën</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lidhjes së tyre të ngushtë, nuk do të thotë se pajtueshmëria e mundshme me rregullat për kërkesën për “pavarësi”, nuk përjashton një shkelje të kërkesës që një gjykatë të jetë e “krijuar me ligj” (shih paragrafin 87 më sipër). </w:t>
      </w:r>
    </w:p>
    <w:p w14:paraId="461729A4" w14:textId="5A4D1DC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108. Për sa më sipër, Gjykata vlerëson se aspekti i përshtatshmërisë së gjyqtarit L.D. në detyrë kishte të bënte me një rregull themelor në lidhje me emërimin e gjyqtarëve të KPA-së. </w:t>
      </w:r>
    </w:p>
    <w:p w14:paraId="3EDEBE77" w14:textId="4066CB5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c) Nëse pretendimet në lidhje me të drejtën për një “gjykatë të krijuar me ligj” u shqyrtuan dhe korrigjuan në mënyrë efektive nga gjykatat </w:t>
      </w:r>
      <w:r w:rsidR="008A55FD" w:rsidRPr="00BE1029">
        <w:rPr>
          <w:rFonts w:ascii="Garamond" w:hAnsi="Garamond" w:cs="Times New Roman"/>
          <w:i/>
          <w:iCs/>
          <w:color w:val="000000"/>
          <w:sz w:val="24"/>
          <w:szCs w:val="24"/>
          <w:lang w:val="sq-AL"/>
        </w:rPr>
        <w:t>vendës</w:t>
      </w:r>
      <w:r w:rsidRPr="00BE1029">
        <w:rPr>
          <w:rFonts w:ascii="Garamond" w:hAnsi="Garamond" w:cs="Times New Roman"/>
          <w:i/>
          <w:iCs/>
          <w:color w:val="000000"/>
          <w:sz w:val="24"/>
          <w:szCs w:val="24"/>
          <w:lang w:val="sq-AL"/>
        </w:rPr>
        <w:t xml:space="preserve">e </w:t>
      </w:r>
    </w:p>
    <w:p w14:paraId="13FF34B0" w14:textId="69319D8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109. Qeveria parashtroi</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ndryshe nga rasti i gjyqtarëve të Gjykatës Kushtetuese të zakonshme, nuk ka asnjë parashikim specifik në ligjin shqiptar që parashikon një ndërprerje të parakohshme të mandatit të një gjyqtari të KPA-së për arsyen se ai/ajo nuk kishte përmbushur kushtet e përzgjedhshmërisë. Në të njëjtën kohë, Qeveria iu referua efektit të kombinuar të procedurave në KPA, Gjykatën Kushtetuese</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dhe gjykatave penale, me argumentin se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i kishin shqyrtuar pretendimet e kërkuesit në lidhje me aspektin që KPA nuk ishte një “gjykatë e krijuar me ligj” dhe i kishin korrigjuar ankesat e tij. </w:t>
      </w:r>
    </w:p>
    <w:p w14:paraId="4094FB9D" w14:textId="1B6C8CD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110. Në kërkesën e paraqitur prej tij më 17 </w:t>
      </w:r>
      <w:r w:rsidR="00F17296"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 xml:space="preserve">2020 (shih paragrafin 35 më sipër), teksa çështja e tij e rivlerësimit ishte në vijimësi në KPA, ankuesi paraqiti informacionet përkatëse faktike dhe ligjore që mbështesnin pretendimin e tij të argumentueshëm se L.D. nuk ishte i përshtatshëm për pozicionin gjyqësor për shkakun se ai nuk kishte përmbushur kriteret e përzgjedhshmërisë në momentin e emërimit të tij (shih paragrafin 35). Pavarësisht kësaj, Gjykata tashmë ka konstatuar (shih paragrafin 94 më sipër) se asnjë autoritet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ka shqyrtuar – dhe jo më të këtë korrigjuar – aspektin nëse L.D. ishte emëruar në KPA në përputhje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veçanërisht, nuk mbajtën një pozicion të qartë për aspektin nëse L.D. do t’i ndërpritej mandati (dhe nëse po, nga cili autoritet), apo nëse ai mund të përjashtohej nga shqyrtimi i çështjes së kërkuesit për shkakun se ai nuk kishte respektuar kriteret përkatëse të përzgjedhshmërisë. </w:t>
      </w:r>
    </w:p>
    <w:p w14:paraId="2E857EF1" w14:textId="4DF17D5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111. Në lidhje me këtë aspekt, vendimet kushtetuese dhe disiplinore nuk mund të korrigjonin ankesën e kërkuesit, sepse procedurat përfunduan pasi kërkuesi ishte shkarkuar me anë të një vendimi të formës së prerë dhe të paankimueshëm nga KPA-ja. </w:t>
      </w:r>
    </w:p>
    <w:p w14:paraId="5263B346" w14:textId="02383EE3" w:rsidR="00A43DB1" w:rsidRPr="00BE1029" w:rsidRDefault="00A43DB1" w:rsidP="00D0686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112. I vetmi vendim që u shpall përpara shkarkimit të ankuesit ishte vendimi i KPA-së, e cila në datën 5 </w:t>
      </w:r>
      <w:r w:rsidR="006D24DC"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nuk pranoi të shqyrtonte kërkesat e ankuesit për përjashtimin e L.D. nga paneli i cili shqyrtonte çështjen e tij, me arsyetimin se i mungonte juridiksioni që të trajtonte pyetjet në lidhje me emërimin e tij në atë pozicion (shih paragrafin 36 më sipër). Qasja e KPA-së rezulton të jetë kontradiktore me vendimin e mëpasshëm të Gjykatës Kushtetuese, duke nënvizuar se i takonte KPA-së, si një kolegj i veçantë i Gjykatës Kushtetuese, të garantonte respektimin e </w:t>
      </w:r>
      <w:r w:rsidR="00D06860">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ë drejtës së ankuesit për një gjykatë të krijuar me ligj. Së fundmi, në vendimin e tij për shkarkimin e L.D. nga detyra. Komisioni Disiplinor i KPA</w:t>
      </w:r>
      <w:r w:rsidR="00377D94">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konstatoi se ai kishte statusin e një gjyqtari të Gjykatës Kushtetuese, dhe ishte e detyrueshme që ai të shkarkohej nga detyra me të njëjtat kushte me ato që zbatoheshin për një gjyqtar të Gjykatës Kushtetuese, në mbështetje të </w:t>
      </w:r>
      <w:r w:rsidR="007E3B9F" w:rsidRPr="00BE1029">
        <w:rPr>
          <w:rFonts w:ascii="Garamond" w:hAnsi="Garamond" w:cs="Times New Roman"/>
          <w:color w:val="000000"/>
          <w:sz w:val="24"/>
          <w:szCs w:val="24"/>
          <w:lang w:val="sq-AL"/>
        </w:rPr>
        <w:t xml:space="preserve">nenit </w:t>
      </w:r>
      <w:r w:rsidR="007E3B9F">
        <w:rPr>
          <w:rFonts w:ascii="Garamond" w:hAnsi="Garamond" w:cs="Times New Roman"/>
          <w:color w:val="000000"/>
          <w:sz w:val="24"/>
          <w:szCs w:val="24"/>
          <w:lang w:val="sq-AL"/>
        </w:rPr>
        <w:t>128 § 2</w:t>
      </w:r>
      <w:r w:rsidRPr="00BE1029">
        <w:rPr>
          <w:rFonts w:ascii="Garamond" w:hAnsi="Garamond" w:cs="Times New Roman"/>
          <w:color w:val="000000"/>
          <w:sz w:val="24"/>
          <w:szCs w:val="24"/>
          <w:lang w:val="sq-AL"/>
        </w:rPr>
        <w:t xml:space="preserve">(b) të </w:t>
      </w:r>
      <w:r w:rsidRPr="00BE1029">
        <w:rPr>
          <w:rFonts w:ascii="Garamond" w:hAnsi="Garamond" w:cs="Times New Roman"/>
          <w:color w:val="000000"/>
          <w:sz w:val="24"/>
          <w:szCs w:val="24"/>
          <w:lang w:val="sq-AL"/>
        </w:rPr>
        <w:lastRenderedPageBreak/>
        <w:t>Kushtetutës (shih paragrafin 44 më sipër). Megjithatë, KPA</w:t>
      </w:r>
      <w:r w:rsidR="007E3B9F">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rezulton të ketë gjykuar, për arsye që nuk artikulohen në vendimin e tij të datës 5 </w:t>
      </w:r>
      <w:r w:rsidR="008810F4"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se </w:t>
      </w:r>
      <w:r w:rsidR="008810F4"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127 § 1 (d) i Kushtetutës – i cili parashikon ndërprerjen e mandatit (shkarkimi nga detyra) të një gjyqtari të Gjykatës Kushtetuese me arsyetimin se ai ose ajo nuk ka respektuar kërkesat statutore të përzgjedhshmërisë (po aty) – nuk zbatohej për gjyqtarët e KPA-së. </w:t>
      </w:r>
    </w:p>
    <w:p w14:paraId="55E16875" w14:textId="42D1391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113. Së fundmi, një parregullsi në procedurën e emërimit të një gjyqtari mund të mos jetë domosdoshmërisht e hapur për t’u kundërshtuar nga një individ</w:t>
      </w:r>
      <w:r w:rsidR="008810F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u mbështetur në të drejtën për një “gjykatë të krijuar me ligj” në mënyrë të vazhdueshme dhe të pacilësuar. Me kalimin e kohës, ruajtja e sigurisë ligjore dhe e sigurisë së mandatit gjyqësor do të marrë rëndësi në rritje në lidhje me të drejtën e ndërgjyqësit individual për një “gjykatë të krijuar me ligj” në ushtrimin balancues që duhet të realizohet (shih </w:t>
      </w:r>
      <w:r w:rsidRPr="00BE1029">
        <w:rPr>
          <w:rFonts w:ascii="Garamond" w:hAnsi="Garamond" w:cs="Times New Roman"/>
          <w:i/>
          <w:iCs/>
          <w:color w:val="000000"/>
          <w:sz w:val="24"/>
          <w:szCs w:val="24"/>
          <w:lang w:val="sq-AL"/>
        </w:rPr>
        <w:t>Guðmundur Andri Ástráðsson</w:t>
      </w:r>
      <w:r w:rsidRPr="00BE1029">
        <w:rPr>
          <w:rFonts w:ascii="Garamond" w:hAnsi="Garamond" w:cs="Times New Roman"/>
          <w:color w:val="000000"/>
          <w:sz w:val="24"/>
          <w:szCs w:val="24"/>
          <w:lang w:val="sq-AL"/>
        </w:rPr>
        <w:t xml:space="preserve">, cituar më sipër, §§ 252 dhe 284). Megjithatë, në çështjen konkrete,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nuk arritën asnjë balancë të cilësdo natyre.</w:t>
      </w:r>
    </w:p>
    <w:p w14:paraId="43713D26" w14:textId="57B8482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114. Efekti i kombinuar i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 veçanërisht pezullimi dhe më pas, shkarkimi i L.D. nga KPA bazuar në veprën e tij penale – mund të pengonte pretendime të tjera të ngjashme në të ardhmen. megjithatë, Gjykata nuk vlerëson se ato procedura korrigjuan ankesën e kërkuesit. </w:t>
      </w:r>
    </w:p>
    <w:p w14:paraId="44A39686" w14:textId="2E30E457"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d) Përfundim </w:t>
      </w:r>
    </w:p>
    <w:p w14:paraId="6E747228" w14:textId="70BCC2D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115. Gjykata ka vendosur se ekzistonte një pretendim i argumentueshëm për një shkelje të qartë të rregullit themelor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i cili ka ndikuar në mënyrë të pafavorshme në emërimin e L.D. si gjyqtari i KPA-së. </w:t>
      </w:r>
    </w:p>
    <w:p w14:paraId="044C61FE" w14:textId="550545A2" w:rsidR="00A43DB1" w:rsidRPr="00BE1029" w:rsidRDefault="005C3B50"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116. Për sa më sipër</w:t>
      </w:r>
      <w:r w:rsidR="00A43DB1" w:rsidRPr="00BE1029">
        <w:rPr>
          <w:rFonts w:ascii="Garamond" w:hAnsi="Garamond" w:cs="Times New Roman"/>
          <w:color w:val="000000"/>
          <w:sz w:val="24"/>
          <w:szCs w:val="24"/>
          <w:lang w:val="sq-AL"/>
        </w:rPr>
        <w:t xml:space="preserve"> dhe duke pasur në konsideratë veçanërisht faktin se gjykatat </w:t>
      </w:r>
      <w:r w:rsidR="008A55FD" w:rsidRPr="00BE1029">
        <w:rPr>
          <w:rFonts w:ascii="Garamond" w:hAnsi="Garamond" w:cs="Times New Roman"/>
          <w:color w:val="000000"/>
          <w:sz w:val="24"/>
          <w:szCs w:val="24"/>
          <w:lang w:val="sq-AL"/>
        </w:rPr>
        <w:t>vendës</w:t>
      </w:r>
      <w:r w:rsidR="00A43DB1" w:rsidRPr="00BE1029">
        <w:rPr>
          <w:rFonts w:ascii="Garamond" w:hAnsi="Garamond" w:cs="Times New Roman"/>
          <w:color w:val="000000"/>
          <w:sz w:val="24"/>
          <w:szCs w:val="24"/>
          <w:lang w:val="sq-AL"/>
        </w:rPr>
        <w:t xml:space="preserve">e nuk trajtuan në mënyrën e duhur pyetjet e ngritura nga ankuesi në lidhje me Konventën, Gjykata arrin në përfundimin se është shkelur </w:t>
      </w:r>
      <w:r w:rsidRPr="00BE1029">
        <w:rPr>
          <w:rFonts w:ascii="Garamond" w:hAnsi="Garamond" w:cs="Times New Roman"/>
          <w:color w:val="000000"/>
          <w:sz w:val="24"/>
          <w:szCs w:val="24"/>
          <w:lang w:val="sq-AL"/>
        </w:rPr>
        <w:t xml:space="preserve">neni </w:t>
      </w:r>
      <w:r w:rsidR="00A43DB1" w:rsidRPr="00BE1029">
        <w:rPr>
          <w:rFonts w:ascii="Garamond" w:hAnsi="Garamond" w:cs="Times New Roman"/>
          <w:color w:val="000000"/>
          <w:sz w:val="24"/>
          <w:szCs w:val="24"/>
          <w:lang w:val="sq-AL"/>
        </w:rPr>
        <w:t>6 § 1 i Konventës</w:t>
      </w:r>
      <w:r>
        <w:rPr>
          <w:rFonts w:ascii="Garamond" w:hAnsi="Garamond" w:cs="Times New Roman"/>
          <w:color w:val="000000"/>
          <w:sz w:val="24"/>
          <w:szCs w:val="24"/>
          <w:lang w:val="sq-AL"/>
        </w:rPr>
        <w:t>,</w:t>
      </w:r>
      <w:r w:rsidR="00A43DB1" w:rsidRPr="00BE1029">
        <w:rPr>
          <w:rFonts w:ascii="Garamond" w:hAnsi="Garamond" w:cs="Times New Roman"/>
          <w:color w:val="000000"/>
          <w:sz w:val="24"/>
          <w:szCs w:val="24"/>
          <w:lang w:val="sq-AL"/>
        </w:rPr>
        <w:t xml:space="preserve"> për shkak se L.D. ishte pjesë e trupës gjyqësore të KPA, e cila shqyrtoi çështjen e ankuesit. </w:t>
      </w:r>
    </w:p>
    <w:p w14:paraId="2AAB3A32" w14:textId="464D370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b) Në lidhje me pretendimin për mospërmbushjen e kritereve të tjera statutore të përzgjedhshmërisë nga L.D.</w:t>
      </w:r>
    </w:p>
    <w:p w14:paraId="251A18AE" w14:textId="7373D57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117. Duke pasur në konsideratë natyrën dhe fushën e veprimit të shkeljes së konstatuar në mbështetje të </w:t>
      </w:r>
      <w:r w:rsidR="008E119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të Konventës, në lidhje me të drejtën e ankuesit për një gjykatë të krijuar me ligj (shih paragrafin 116 më sipër), Gjykata vendos të mos</w:t>
      </w:r>
      <w:r w:rsidR="008E1193">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shqyrtojë pranueshmërinë dhe meritat e kësaj pjese të ankesës (shih paragrafin 77 më sipër). </w:t>
      </w:r>
    </w:p>
    <w:p w14:paraId="086135D5" w14:textId="4379523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SHKELJE E PRETENDUAR E NENIT 13 TË KONVENTËS </w:t>
      </w:r>
    </w:p>
    <w:p w14:paraId="7BACB8DA" w14:textId="5973BED6" w:rsidR="00A43DB1" w:rsidRPr="00BE1029" w:rsidRDefault="00A43DB1" w:rsidP="00D2414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118. Kërkuesi parashtroi se nuk kishte pasur asnjë mjet efikas përpara një autoriteti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përpara </w:t>
      </w:r>
      <w:r w:rsidR="00D24149">
        <w:rPr>
          <w:rFonts w:ascii="Garamond" w:hAnsi="Garamond" w:cs="Times New Roman"/>
          <w:color w:val="000000"/>
          <w:sz w:val="24"/>
          <w:szCs w:val="24"/>
          <w:lang w:val="sq-AL"/>
        </w:rPr>
        <w:t>t</w:t>
      </w:r>
      <w:r w:rsidRPr="00BE1029">
        <w:rPr>
          <w:rFonts w:ascii="Garamond" w:hAnsi="Garamond" w:cs="Times New Roman"/>
          <w:color w:val="000000"/>
          <w:sz w:val="24"/>
          <w:szCs w:val="24"/>
          <w:lang w:val="sq-AL"/>
        </w:rPr>
        <w:t>ë cilit të kundërshtonte shkarkimin e tij me gjasa të paligjshëm nga KPA</w:t>
      </w:r>
      <w:r w:rsidR="00D2414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Në këndvështrimin e tij, në mbështetje të rrethanave, kishte pasur një shkelje të </w:t>
      </w:r>
      <w:r w:rsidR="0066543F"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të Konventës. </w:t>
      </w:r>
    </w:p>
    <w:p w14:paraId="2C3C6E92" w14:textId="671179DE" w:rsidR="00A43DB1" w:rsidRPr="00BE1029" w:rsidRDefault="00A43DB1" w:rsidP="009A765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119. Qeveria iu referua çështjes </w:t>
      </w:r>
      <w:r w:rsidRPr="00BE1029">
        <w:rPr>
          <w:rFonts w:ascii="Garamond" w:hAnsi="Garamond" w:cs="Times New Roman"/>
          <w:i/>
          <w:iCs/>
          <w:color w:val="000000"/>
          <w:sz w:val="24"/>
          <w:szCs w:val="24"/>
          <w:lang w:val="sq-AL"/>
        </w:rPr>
        <w:t>Xhoxhaj</w:t>
      </w:r>
      <w:r w:rsidRPr="00BE1029">
        <w:rPr>
          <w:rFonts w:ascii="Garamond" w:hAnsi="Garamond" w:cs="Times New Roman"/>
          <w:color w:val="000000"/>
          <w:sz w:val="24"/>
          <w:szCs w:val="24"/>
          <w:lang w:val="sq-AL"/>
        </w:rPr>
        <w:t xml:space="preserve"> (cituar më sipër, § 416) dhe parashtroi se KPA</w:t>
      </w:r>
      <w:r w:rsidR="0066543F">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kishte ushtruar juridiksionin e tij të plotë në vlerësimin e të gjith</w:t>
      </w:r>
      <w:r w:rsidR="00EB4CAC">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argumenteve faktik</w:t>
      </w:r>
      <w:r w:rsidR="00EB4CAC">
        <w:rPr>
          <w:rFonts w:ascii="Garamond" w:hAnsi="Garamond" w:cs="Times New Roman"/>
          <w:color w:val="000000"/>
          <w:sz w:val="24"/>
          <w:szCs w:val="24"/>
          <w:lang w:val="sq-AL"/>
        </w:rPr>
        <w:t>e</w:t>
      </w:r>
      <w:r w:rsidRPr="00BE1029">
        <w:rPr>
          <w:rFonts w:ascii="Garamond" w:hAnsi="Garamond" w:cs="Times New Roman"/>
          <w:color w:val="000000"/>
          <w:sz w:val="24"/>
          <w:szCs w:val="24"/>
          <w:lang w:val="sq-AL"/>
        </w:rPr>
        <w:t xml:space="preserve"> dhe ligjor</w:t>
      </w:r>
      <w:r w:rsidR="00EB4CAC">
        <w:rPr>
          <w:rFonts w:ascii="Garamond" w:hAnsi="Garamond" w:cs="Times New Roman"/>
          <w:color w:val="000000"/>
          <w:sz w:val="24"/>
          <w:szCs w:val="24"/>
          <w:lang w:val="sq-AL"/>
        </w:rPr>
        <w:t>e</w:t>
      </w:r>
      <w:r w:rsidRPr="00BE1029">
        <w:rPr>
          <w:rFonts w:ascii="Garamond" w:hAnsi="Garamond" w:cs="Times New Roman"/>
          <w:color w:val="000000"/>
          <w:sz w:val="24"/>
          <w:szCs w:val="24"/>
          <w:lang w:val="sq-AL"/>
        </w:rPr>
        <w:t xml:space="preserve"> të parashtruar</w:t>
      </w:r>
      <w:r w:rsidR="00EB4CAC">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nga kërkuesi. Në vijim, ata argumentuan se duke </w:t>
      </w:r>
      <w:r w:rsidR="009A7658">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shtuar procedurave të rivlerësimit një nivel të tretë të juridiksionit do të kishte komplikuar dhe zgjatur procesin. </w:t>
      </w:r>
    </w:p>
    <w:p w14:paraId="256A95C2" w14:textId="4A6DD29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120. Gjykata vlerëson se ankesa e kërkuesit nuk drejtohet kundër mostrajtimit nga ana e autoriteteve të substancës së ankesës së tij</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aspektin për një “gjykatë të krijuar me ligj”, por më shumë në drejtim të mungesës së përgjithshme të mundësisë për të paraqitur një apelim kundër vendimit të KPA-së. Në përputhje me rrethanat, ankesa i bie të shqyrtohet në lidhje me ankesën</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të Konventës se shkarkimi i ankuesit nga detyra cenonte të drejtën e tij për jetë private (shih paragrafin 127 më poshtë). </w:t>
      </w:r>
    </w:p>
    <w:p w14:paraId="04FFE83B" w14:textId="605F73A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121. Në lidhje më këtë, Gjykata përsërit</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nëse një shkelje e Konventës pretendohet të jetë kryer nga gjykata ose autoriteti më i lartë, zbatimi i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është subjekt i një kufizimi të nënkuptuar përderisa ai nuk mund të interpretohet se kërkon që të ngrihen organe të posaçme për shqyrtimin e ankesave kundër vendimeve nga gjykatat më të larta (shih </w:t>
      </w:r>
      <w:r w:rsidRPr="00BE1029">
        <w:rPr>
          <w:rFonts w:ascii="Garamond" w:hAnsi="Garamond" w:cs="Times New Roman"/>
          <w:i/>
          <w:iCs/>
          <w:color w:val="000000"/>
          <w:sz w:val="24"/>
          <w:szCs w:val="24"/>
          <w:lang w:val="sq-AL"/>
        </w:rPr>
        <w:t>Stoyanova-Tsakova kundër Bullgarisë</w:t>
      </w:r>
      <w:r w:rsidRPr="00BE1029">
        <w:rPr>
          <w:rFonts w:ascii="Garamond" w:hAnsi="Garamond" w:cs="Times New Roman"/>
          <w:color w:val="000000"/>
          <w:sz w:val="24"/>
          <w:szCs w:val="24"/>
          <w:lang w:val="sq-AL"/>
        </w:rPr>
        <w:t xml:space="preserve">, nr. 17967/03, § 32, 25 </w:t>
      </w:r>
      <w:r w:rsidR="00D24149"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2009). </w:t>
      </w:r>
    </w:p>
    <w:p w14:paraId="687CCE1D" w14:textId="029869E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122. Duke u kthyer në çështjen konkrete, Gjykata vlerëson</w:t>
      </w:r>
      <w:r w:rsidR="004620B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KPA</w:t>
      </w:r>
      <w:r w:rsidR="004620B8">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është një gjykatë që përdoret si mjet i fundit në lidhje me procedurat e rivlerësimit. Në këtë mënyrë, kjo ankesë është e haptazi e pambështetur dhe duhet të rrëzohet, në përputhje me </w:t>
      </w:r>
      <w:r w:rsidR="00E50179"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 3 (a) dhe 4 të Konventës. </w:t>
      </w:r>
    </w:p>
    <w:p w14:paraId="5EC8B1D0" w14:textId="36B99AB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III. SHKELJE TË TJERA TË PRETENDUARA TË KONVENTËS</w:t>
      </w:r>
    </w:p>
    <w:p w14:paraId="2882664E" w14:textId="13FBD08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123. Kërkuesi paraqiti një sërë ankesash të tjera në mbështetje të </w:t>
      </w:r>
      <w:r w:rsidR="00B21FF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w:t>
      </w:r>
    </w:p>
    <w:p w14:paraId="2D9B98B3" w14:textId="1544ABE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124. Fillimisht, ai u ankua se KPA</w:t>
      </w:r>
      <w:r w:rsidR="00B21FF6">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qenë një gjykatë e krijuar me ligj</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iu referuar një mosrespektim tjetër të kritereve statutore të përzgjedhshmërisë në emërimin e gjyqtarit A.H. Specifikisht, në këndvështrimin e kërkuesit, gjyqtari A.H. nuk kishte vjetërsinë e kërkuar në profesion, nota e tij mesatare e studimeve akademike ishte vetëm tetë nga dhjetë në total, nuk kishte tituj akademikë, nuk kishte pasur ndonjë eksperiencë studimore jashtë Shqipërisë dhe nuk kishte njohuri shumë të mira të gjuhës angleze, siç kërkohej me ligj. </w:t>
      </w:r>
    </w:p>
    <w:p w14:paraId="453DE71D" w14:textId="068330D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125. Së dyti, kërkuesi u ankua se gjyqtarët L.D. dhe A.H. nuk kishin paanshmërinë e nevojshme për të shqyrtuar çështjen e kërkuesit</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pasi ai kishte kërkuar që të ndërpriteshin mandatet e tyre dhe kishte paraqitur një padi penale kundër L.D.</w:t>
      </w:r>
    </w:p>
    <w:p w14:paraId="72D82670" w14:textId="4903DF5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126. Së treti, kërkuesi u ankua edhe se procesi në KPA kishte qenë i padrejtë</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mosvënies së kërkuesit në dijeni të një kopje të “analizës financiare”</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tek e cila gjykata ishte mbështetur për ta shkarkuar dhe e cila ka çuar në cenimin e parimit për procedura kundërshtuese. </w:t>
      </w:r>
    </w:p>
    <w:p w14:paraId="69478DE5" w14:textId="2C2D1AF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127. Së fundmi, duke u mbështetur në të drejtën e tij për respektim të jetës së tij private, sipas </w:t>
      </w:r>
      <w:r w:rsidR="003410C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të Konventës, kërkuesi pretendonte se vendimi i KPA-së për ta shkarkuar nga detyra kishte shkaktuar një ndërhyrje në atë të drejtë, gjë e cila nuk ishte as në përputhje me ligjin dhe as proporcionale me qëllimet legjitime të ndjekura. </w:t>
      </w:r>
    </w:p>
    <w:p w14:paraId="791B8A17" w14:textId="508988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128. Qeveria i kundërshtoi ankesat e mësipërme dhe argumentoi se nuk kishte pasur shkelje të atyre parashikimeve të Konventës.</w:t>
      </w:r>
      <w:r w:rsidR="00BB6ABE" w:rsidRPr="00BE1029">
        <w:rPr>
          <w:rFonts w:ascii="Garamond" w:hAnsi="Garamond" w:cs="Times New Roman"/>
          <w:color w:val="000000"/>
          <w:sz w:val="24"/>
          <w:szCs w:val="24"/>
          <w:lang w:val="sq-AL"/>
        </w:rPr>
        <w:t xml:space="preserve"> </w:t>
      </w:r>
    </w:p>
    <w:p w14:paraId="308D96E2" w14:textId="471ED8A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129. Duke pasur në konsideratë natyrën dhe fushën e veprimit të shkeljes</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3410C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të Konventës</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të drejtën e ankuesit për një gjykatë të krijuar me ligj (shih paragrafin 116 më sipër), Gjykata vendos të vijojë pa shqyrtuar pranueshmërinë dhe meritat e këtyre ankesave. </w:t>
      </w:r>
    </w:p>
    <w:p w14:paraId="77E95680" w14:textId="31F47C2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IV. ZBATIMI I NENIT 41 TË KONVENTËS</w:t>
      </w:r>
    </w:p>
    <w:p w14:paraId="5022D55D" w14:textId="084038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130. Neni 41 i Konventës parashikon: </w:t>
      </w:r>
    </w:p>
    <w:p w14:paraId="7B3BEEB3" w14:textId="056AE94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3410C3">
        <w:rPr>
          <w:rFonts w:ascii="Garamond" w:hAnsi="Garamond" w:cs="Times New Roman"/>
          <w:color w:val="000000"/>
          <w:sz w:val="24"/>
          <w:szCs w:val="24"/>
          <w:lang w:val="sq-AL"/>
        </w:rPr>
        <w:t>.</w:t>
      </w:r>
    </w:p>
    <w:p w14:paraId="7324DF74" w14:textId="6E7AF37C"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Dëmshpërblimi </w:t>
      </w:r>
    </w:p>
    <w:p w14:paraId="7731EAB6" w14:textId="7632B67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131. Ankuesi i kërkoi Gjykatës t’i akordonte dëmshpërblim monetar në shumën e barabartë me pagën e tij mujore (rreth 2200 euro (EUR))</w:t>
      </w:r>
      <w:r w:rsidR="00785CD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mbuluar periudhën nga data e shkarkimit të tij nga detyra deri në datën e rikthimit të tij në pozicionin e tij. </w:t>
      </w:r>
    </w:p>
    <w:p w14:paraId="510650EF" w14:textId="128FC78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132. Në lidhje me dëmin jopasuror, kërkuesi parashtroi se dëmit ndaj imazhit dhe reputacionit të tij</w:t>
      </w:r>
      <w:r w:rsidR="00785CD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edhe stresit emocional që kishte përjetuar, nuk mund t’i vihej një vlerë monetare. Në përputhje me rrethanat, ai i kërkoi Gjykatës të akordonte shumën simbolike prej EUR 1. </w:t>
      </w:r>
    </w:p>
    <w:p w14:paraId="7A5BD4BC" w14:textId="3EC5C04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133. Qeveria parashtroi se pretendimet ishin të paarsyeshme. </w:t>
      </w:r>
    </w:p>
    <w:p w14:paraId="2FFD306D" w14:textId="5091A53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134. Gjykata vëren se ka konstatuar një shkelje të së drejtës për një “gjykatë të krijuar me ligj”</w:t>
      </w:r>
      <w:r w:rsidR="0009398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09398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pa shprehur ndonjë opinion për meritat e shkarkimit të tij. Gjykata nuk mund të spekulojë se si do të kishin qenë rezultatet e procedurave të rivlerësimit ndaj ankuesit, në rast se do të ishin respektuar kërkesat e </w:t>
      </w:r>
      <w:r w:rsidR="003B1BCF"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dhe ajo nuk dallon ndonjë lidhje rastësore midis shkeljes procedurale që ajo konstatoi dhe dëmshpërblimit monetar të pretenduar; për këtë arsye ajo e rrëzon këtë pretendim. </w:t>
      </w:r>
    </w:p>
    <w:p w14:paraId="1F379074" w14:textId="290F6C8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135. Në lidhje me dëmin jopasuror, Gjykata vlerëson se konstatimi i një shkeljeje të </w:t>
      </w:r>
      <w:r w:rsidR="002B3A4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përbën një shpërblim të drejtë për qëllimet e Konventës. </w:t>
      </w:r>
    </w:p>
    <w:p w14:paraId="66C3B1AD" w14:textId="572C952A"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lastRenderedPageBreak/>
        <w:t xml:space="preserve">B. Kostot dhe shpenzimet </w:t>
      </w:r>
    </w:p>
    <w:p w14:paraId="763B4755" w14:textId="519E869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136. Ankuesi nuk parashtroi ndonjë pretendim për kostot dhe shpërblimet. Për këtë arsye, Gjykata nuk bën asnjë akordim. </w:t>
      </w:r>
    </w:p>
    <w:p w14:paraId="05BE02BD" w14:textId="363AB80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V. ZBATIMI I NENIT 46 TË KONVENTËS</w:t>
      </w:r>
    </w:p>
    <w:p w14:paraId="56F716DA" w14:textId="156F15A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137. Neni 46 i Konventës parashikon: </w:t>
      </w:r>
    </w:p>
    <w:p w14:paraId="5BA4AA25"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14:paraId="57202FD2" w14:textId="5019C0F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 Vendimi i formës së prerë i Gjykatës i përcillet Komitetit të Ministrave, i cili mbikëqyr ekzekutimin e tij.”</w:t>
      </w:r>
      <w:r w:rsidR="00C0643D">
        <w:rPr>
          <w:rFonts w:ascii="Garamond" w:hAnsi="Garamond" w:cs="Times New Roman"/>
          <w:color w:val="000000"/>
          <w:sz w:val="24"/>
          <w:szCs w:val="24"/>
          <w:lang w:val="sq-AL"/>
        </w:rPr>
        <w:t>.</w:t>
      </w:r>
    </w:p>
    <w:p w14:paraId="4D26B3F1" w14:textId="1AA9F514"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Parime të zbatueshme </w:t>
      </w:r>
    </w:p>
    <w:p w14:paraId="7202408B" w14:textId="122B3DE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138. Gjykata përsërit</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sipas </w:t>
      </w:r>
      <w:r w:rsidR="00404488"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46 të Konventës, Palët Kontraktuese kanë marrë përsipër të respektojnë vendimet e formës së prerë të Gjykatës në çdo çështje ku ato janë palë, teksa ekzekutimi mbikëqyret nga Komiteti i Ministrave. Ajo vijon, ndër të tjera, se një vendim në të cilin Gjykata konstaton një shkelje të Konventës ose të Protokolleve të saj vendos detyrimin ndaj Shtetit përgjegjës</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jo vetëm që të paguajë shumat e akorduara për shpërblim të drejtë, por edhe të zgjedhë, nën mbikëqyrjen e Komitetit të Ministrave, masat e përgjithshme dhe/ose, nëse është me vend, individuale që do të miratohen në urdhrin e ligjor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 t’i dhënë fund shkeljes së konstatuar nga gjykata dhe për të korrigjuar sa më shumë të jetë e mundur efektet (shih </w:t>
      </w:r>
      <w:r w:rsidRPr="00BE1029">
        <w:rPr>
          <w:rFonts w:ascii="Garamond" w:hAnsi="Garamond" w:cs="Times New Roman"/>
          <w:i/>
          <w:iCs/>
          <w:color w:val="000000"/>
          <w:sz w:val="24"/>
          <w:szCs w:val="24"/>
          <w:lang w:val="sq-AL"/>
        </w:rPr>
        <w:t xml:space="preserve">Scozzari dhe Giunta kundër Italisë </w:t>
      </w:r>
      <w:r w:rsidRPr="00BE1029">
        <w:rPr>
          <w:rFonts w:ascii="Garamond" w:hAnsi="Garamond" w:cs="Times New Roman"/>
          <w:color w:val="000000"/>
          <w:sz w:val="24"/>
          <w:szCs w:val="24"/>
          <w:lang w:val="sq-AL"/>
        </w:rPr>
        <w:t xml:space="preserve">[DHM], nr. 39221/98 dhe 41963/98, § 249, GJEDNJ 2000-VIII, dhe </w:t>
      </w:r>
      <w:r w:rsidRPr="00BE1029">
        <w:rPr>
          <w:rFonts w:ascii="Garamond" w:hAnsi="Garamond" w:cs="Times New Roman"/>
          <w:i/>
          <w:iCs/>
          <w:color w:val="000000"/>
          <w:sz w:val="24"/>
          <w:szCs w:val="24"/>
          <w:lang w:val="sq-AL"/>
        </w:rPr>
        <w:t xml:space="preserve">Stanev kundër Bullgarisë </w:t>
      </w:r>
      <w:r w:rsidRPr="00BE1029">
        <w:rPr>
          <w:rFonts w:ascii="Garamond" w:hAnsi="Garamond" w:cs="Times New Roman"/>
          <w:color w:val="000000"/>
          <w:sz w:val="24"/>
          <w:szCs w:val="24"/>
          <w:lang w:val="sq-AL"/>
        </w:rPr>
        <w:t>[DHM], nr. 36760/06, § 254, GJEDNJ 2012).</w:t>
      </w:r>
      <w:r w:rsidR="00BB6ABE" w:rsidRPr="00BE1029">
        <w:rPr>
          <w:rFonts w:ascii="Garamond" w:hAnsi="Garamond" w:cs="Times New Roman"/>
          <w:color w:val="000000"/>
          <w:sz w:val="24"/>
          <w:szCs w:val="24"/>
          <w:lang w:val="sq-AL"/>
        </w:rPr>
        <w:t xml:space="preserve"> </w:t>
      </w:r>
    </w:p>
    <w:p w14:paraId="5B72FDFE" w14:textId="279FCE5F" w:rsidR="00A43DB1" w:rsidRPr="00BE1029" w:rsidRDefault="00A43DB1" w:rsidP="0040448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139. Në vijim, Gjykata vëren se vendimet e saj kanë natyrë thelbësisht deklarative dhe se, në përgjithësi, kryesisht i takon </w:t>
      </w:r>
      <w:r w:rsidRPr="00F264DE">
        <w:rPr>
          <w:rFonts w:ascii="Garamond" w:hAnsi="Garamond" w:cs="Times New Roman"/>
          <w:color w:val="000000"/>
          <w:sz w:val="24"/>
          <w:szCs w:val="24"/>
          <w:lang w:val="sq-AL"/>
        </w:rPr>
        <w:t>Shtetit</w:t>
      </w:r>
      <w:r w:rsidRPr="00BE1029">
        <w:rPr>
          <w:rFonts w:ascii="Garamond" w:hAnsi="Garamond" w:cs="Times New Roman"/>
          <w:color w:val="000000"/>
          <w:sz w:val="24"/>
          <w:szCs w:val="24"/>
          <w:lang w:val="sq-AL"/>
        </w:rPr>
        <w:t xml:space="preserve"> konkret që të zgjedhë, nën mbikëqyrjen e Komitetit të Ministrave, mjetet që do të përdoren në urdhrin e saj ligjor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 të shkarkuar detyrimin e saj</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404488"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46 të Konventës (shih, për shembull, </w:t>
      </w:r>
      <w:r w:rsidRPr="00BE1029">
        <w:rPr>
          <w:rFonts w:ascii="Garamond" w:hAnsi="Garamond" w:cs="Times New Roman"/>
          <w:i/>
          <w:iCs/>
          <w:color w:val="000000"/>
          <w:sz w:val="24"/>
          <w:szCs w:val="24"/>
          <w:lang w:val="sq-AL"/>
        </w:rPr>
        <w:t>Öcalan kundër Turqisë</w:t>
      </w:r>
      <w:r w:rsidRPr="00BE1029">
        <w:rPr>
          <w:rFonts w:ascii="Garamond" w:hAnsi="Garamond" w:cs="Times New Roman"/>
          <w:color w:val="000000"/>
          <w:sz w:val="24"/>
          <w:szCs w:val="24"/>
          <w:lang w:val="sq-AL"/>
        </w:rPr>
        <w:t xml:space="preserve"> [DHM], nr. 46221/99, § 210, GJEDNJ 2005-IV), me kusht që këto mjete të respektojnë konkluzionet dhe frymën e vendimit të Gjykatës (shih, për shembull, </w:t>
      </w:r>
      <w:r w:rsidRPr="00BE1029">
        <w:rPr>
          <w:rFonts w:ascii="Garamond" w:hAnsi="Garamond" w:cs="Times New Roman"/>
          <w:i/>
          <w:iCs/>
          <w:color w:val="000000"/>
          <w:sz w:val="24"/>
          <w:szCs w:val="24"/>
          <w:lang w:val="sq-AL"/>
        </w:rPr>
        <w:t xml:space="preserve">Scozzari dhe Giunta, </w:t>
      </w:r>
      <w:r w:rsidRPr="00BE1029">
        <w:rPr>
          <w:rFonts w:ascii="Garamond" w:hAnsi="Garamond" w:cs="Times New Roman"/>
          <w:color w:val="000000"/>
          <w:sz w:val="24"/>
          <w:szCs w:val="24"/>
          <w:lang w:val="sq-AL"/>
        </w:rPr>
        <w:t>cituar më sipër, § 249, nr. 15172/13, §§ 148</w:t>
      </w:r>
      <w:r w:rsidR="00404488">
        <w:rPr>
          <w:rFonts w:ascii="Garamond" w:hAnsi="Garamond" w:cs="Times New Roman"/>
          <w:sz w:val="24"/>
          <w:szCs w:val="24"/>
          <w:lang w:val="sq-AL"/>
        </w:rPr>
        <w:t>–</w:t>
      </w:r>
      <w:r w:rsidRPr="00BE1029">
        <w:rPr>
          <w:rFonts w:ascii="Garamond" w:hAnsi="Garamond" w:cs="Times New Roman"/>
          <w:color w:val="000000"/>
          <w:sz w:val="24"/>
          <w:szCs w:val="24"/>
          <w:lang w:val="sq-AL"/>
        </w:rPr>
        <w:t xml:space="preserve">49, 29 Maj 2019). Megjithatë, në rrethana të caktuara, Gjykata e ka gjykuar si të dobishme që t’i tregojë Shtetit përgjegjës llojin e masave që mund të merren për t’i dhënë fund situatës – shpesh sistematike – e cila ka çuar në konstatimin e shkeljes (shih, për shembull, </w:t>
      </w:r>
      <w:r w:rsidRPr="00BE1029">
        <w:rPr>
          <w:rFonts w:ascii="Garamond" w:hAnsi="Garamond" w:cs="Times New Roman"/>
          <w:i/>
          <w:iCs/>
          <w:color w:val="000000"/>
          <w:sz w:val="24"/>
          <w:szCs w:val="24"/>
          <w:lang w:val="sq-AL"/>
        </w:rPr>
        <w:t>Ilgar Mammadov</w:t>
      </w:r>
      <w:r w:rsidRPr="00BE1029">
        <w:rPr>
          <w:rFonts w:ascii="Garamond" w:hAnsi="Garamond" w:cs="Times New Roman"/>
          <w:color w:val="000000"/>
          <w:sz w:val="24"/>
          <w:szCs w:val="24"/>
          <w:lang w:val="sq-AL"/>
        </w:rPr>
        <w:t xml:space="preserve">, cituar më sipër, § 153). </w:t>
      </w:r>
    </w:p>
    <w:p w14:paraId="6586EFE2" w14:textId="4595242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140. Gjykata nuk ka juridiksion të urdhërojë, veçanërisht, rihapjen e procedurave (shih </w:t>
      </w:r>
      <w:r w:rsidRPr="00BE1029">
        <w:rPr>
          <w:rFonts w:ascii="Garamond" w:hAnsi="Garamond" w:cs="Times New Roman"/>
          <w:i/>
          <w:iCs/>
          <w:color w:val="000000"/>
          <w:sz w:val="24"/>
          <w:szCs w:val="24"/>
          <w:lang w:val="sq-AL"/>
        </w:rPr>
        <w:t xml:space="preserve">Verein gegen Tierfabriken Schweiz (VgT) kundër Zvicrës (nr. 2) </w:t>
      </w:r>
      <w:r w:rsidRPr="00BE1029">
        <w:rPr>
          <w:rFonts w:ascii="Garamond" w:hAnsi="Garamond" w:cs="Times New Roman"/>
          <w:color w:val="000000"/>
          <w:sz w:val="24"/>
          <w:szCs w:val="24"/>
          <w:lang w:val="sq-AL"/>
        </w:rPr>
        <w:t xml:space="preserve">[DHM], nr. 32772/02, § 89, GJEDNJ 2009). Megjithatë, ashtu siç pohohet në </w:t>
      </w:r>
      <w:r w:rsidR="003B5EEE" w:rsidRPr="00BE1029">
        <w:rPr>
          <w:rFonts w:ascii="Garamond" w:hAnsi="Garamond" w:cs="Times New Roman"/>
          <w:color w:val="000000"/>
          <w:sz w:val="24"/>
          <w:szCs w:val="24"/>
          <w:lang w:val="sq-AL"/>
        </w:rPr>
        <w:t>rekomandimin nr</w:t>
      </w:r>
      <w:r w:rsidRPr="00BE1029">
        <w:rPr>
          <w:rFonts w:ascii="Garamond" w:hAnsi="Garamond" w:cs="Times New Roman"/>
          <w:color w:val="000000"/>
          <w:sz w:val="24"/>
          <w:szCs w:val="24"/>
          <w:lang w:val="sq-AL"/>
        </w:rPr>
        <w:t xml:space="preserve">. R (2000)2 të Komitetit të Ministrave, praktika e Komitetit të Ministrave në mbikëqyrjen e ekzekutimit të vendimeve të Gjykatës tregon se në rrethana përjashtuese, rishqyrtimi i një çështjeje ose rihapja e procedurave ka provuar të jetë mjeti më efikas, në mos i vetmi, për të arritur </w:t>
      </w:r>
      <w:r w:rsidRPr="00BE1029">
        <w:rPr>
          <w:rFonts w:ascii="Garamond" w:hAnsi="Garamond" w:cs="Times New Roman"/>
          <w:i/>
          <w:iCs/>
          <w:color w:val="000000"/>
          <w:sz w:val="24"/>
          <w:szCs w:val="24"/>
          <w:lang w:val="sq-AL"/>
        </w:rPr>
        <w:t xml:space="preserve">restitutio in integrum </w:t>
      </w:r>
      <w:r w:rsidRPr="00BE1029">
        <w:rPr>
          <w:rFonts w:ascii="Garamond" w:hAnsi="Garamond" w:cs="Times New Roman"/>
          <w:color w:val="000000"/>
          <w:sz w:val="24"/>
          <w:szCs w:val="24"/>
          <w:lang w:val="sq-AL"/>
        </w:rPr>
        <w:t xml:space="preserve">(shih </w:t>
      </w:r>
      <w:r w:rsidRPr="00BE1029">
        <w:rPr>
          <w:rFonts w:ascii="Garamond" w:hAnsi="Garamond" w:cs="Times New Roman"/>
          <w:i/>
          <w:iCs/>
          <w:color w:val="000000"/>
          <w:sz w:val="24"/>
          <w:szCs w:val="24"/>
          <w:lang w:val="sq-AL"/>
        </w:rPr>
        <w:t xml:space="preserve">Moreira Ferreira kundër Portugalisë (nr. 2) </w:t>
      </w:r>
      <w:r w:rsidRPr="00BE1029">
        <w:rPr>
          <w:rFonts w:ascii="Garamond" w:hAnsi="Garamond" w:cs="Times New Roman"/>
          <w:color w:val="000000"/>
          <w:sz w:val="24"/>
          <w:szCs w:val="24"/>
          <w:lang w:val="sq-AL"/>
        </w:rPr>
        <w:t xml:space="preserve">[DHM], nr. 19867/12, § 48, 11 </w:t>
      </w:r>
      <w:r w:rsidR="003B5EEE"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2017). </w:t>
      </w:r>
    </w:p>
    <w:p w14:paraId="04AD9F8D" w14:textId="5BB1B6C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141. Në një sërë çështjesh në të cilat Gjykata ka konstatuar një shkelje të së drejtës për një gjykatë të krijuar me ligj, ajo ka vlerësuar se forma më e përshtatshme e korrigjimit do të ishte rigjykimi ose rihapja e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(shih </w:t>
      </w:r>
      <w:r w:rsidRPr="00BE1029">
        <w:rPr>
          <w:rFonts w:ascii="Garamond" w:hAnsi="Garamond" w:cs="Times New Roman"/>
          <w:i/>
          <w:iCs/>
          <w:color w:val="000000"/>
          <w:sz w:val="24"/>
          <w:szCs w:val="24"/>
          <w:lang w:val="sq-AL"/>
        </w:rPr>
        <w:t>Ilatovskiy kundër Rusisë</w:t>
      </w:r>
      <w:r w:rsidRPr="00BE1029">
        <w:rPr>
          <w:rFonts w:ascii="Garamond" w:hAnsi="Garamond" w:cs="Times New Roman"/>
          <w:color w:val="000000"/>
          <w:sz w:val="24"/>
          <w:szCs w:val="24"/>
          <w:lang w:val="sq-AL"/>
        </w:rPr>
        <w:t xml:space="preserve">, nr. 6945/04, § 49, 9 </w:t>
      </w:r>
      <w:r w:rsidR="00926A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2009; </w:t>
      </w:r>
      <w:r w:rsidRPr="00BE1029">
        <w:rPr>
          <w:rFonts w:ascii="Garamond" w:hAnsi="Garamond" w:cs="Times New Roman"/>
          <w:i/>
          <w:iCs/>
          <w:color w:val="000000"/>
          <w:sz w:val="24"/>
          <w:szCs w:val="24"/>
          <w:lang w:val="sq-AL"/>
        </w:rPr>
        <w:t>Momčilović kundër Serbisë</w:t>
      </w:r>
      <w:r w:rsidRPr="00BE1029">
        <w:rPr>
          <w:rFonts w:ascii="Garamond" w:hAnsi="Garamond" w:cs="Times New Roman"/>
          <w:color w:val="000000"/>
          <w:sz w:val="24"/>
          <w:szCs w:val="24"/>
          <w:lang w:val="sq-AL"/>
        </w:rPr>
        <w:t xml:space="preserve">, nr. 23103/07, § 41, 2 </w:t>
      </w:r>
      <w:r w:rsidR="00926AB1"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2013; </w:t>
      </w:r>
      <w:r w:rsidRPr="00BE1029">
        <w:rPr>
          <w:rFonts w:ascii="Garamond" w:hAnsi="Garamond" w:cs="Times New Roman"/>
          <w:i/>
          <w:iCs/>
          <w:color w:val="000000"/>
          <w:sz w:val="24"/>
          <w:szCs w:val="24"/>
          <w:lang w:val="sq-AL"/>
        </w:rPr>
        <w:t xml:space="preserve">Ezgeta kundër Kroacisë, </w:t>
      </w:r>
      <w:r w:rsidRPr="00BE1029">
        <w:rPr>
          <w:rFonts w:ascii="Garamond" w:hAnsi="Garamond" w:cs="Times New Roman"/>
          <w:color w:val="000000"/>
          <w:sz w:val="24"/>
          <w:szCs w:val="24"/>
          <w:lang w:val="sq-AL"/>
        </w:rPr>
        <w:t xml:space="preserve">nr. 40562/12, § 49, 7 Shtator 2017; </w:t>
      </w:r>
      <w:r w:rsidRPr="00BE1029">
        <w:rPr>
          <w:rFonts w:ascii="Garamond" w:hAnsi="Garamond" w:cs="Times New Roman"/>
          <w:i/>
          <w:iCs/>
          <w:color w:val="000000"/>
          <w:sz w:val="24"/>
          <w:szCs w:val="24"/>
          <w:lang w:val="sq-AL"/>
        </w:rPr>
        <w:t>Gurov kundër Moldavisë</w:t>
      </w:r>
      <w:r w:rsidRPr="00BE1029">
        <w:rPr>
          <w:rFonts w:ascii="Garamond" w:hAnsi="Garamond" w:cs="Times New Roman"/>
          <w:color w:val="000000"/>
          <w:sz w:val="24"/>
          <w:szCs w:val="24"/>
          <w:lang w:val="sq-AL"/>
        </w:rPr>
        <w:t xml:space="preserve">, nr. 36455/02, § 43, 11 </w:t>
      </w:r>
      <w:r w:rsidR="00926A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2006; dhe </w:t>
      </w:r>
      <w:r w:rsidRPr="00BE1029">
        <w:rPr>
          <w:rFonts w:ascii="Garamond" w:hAnsi="Garamond" w:cs="Times New Roman"/>
          <w:i/>
          <w:iCs/>
          <w:color w:val="000000"/>
          <w:sz w:val="24"/>
          <w:szCs w:val="24"/>
          <w:lang w:val="sq-AL"/>
        </w:rPr>
        <w:t xml:space="preserve">Zeynalov kundër Azerbajxhanit, </w:t>
      </w:r>
      <w:r w:rsidRPr="00BE1029">
        <w:rPr>
          <w:rFonts w:ascii="Garamond" w:hAnsi="Garamond" w:cs="Times New Roman"/>
          <w:color w:val="000000"/>
          <w:sz w:val="24"/>
          <w:szCs w:val="24"/>
          <w:lang w:val="sq-AL"/>
        </w:rPr>
        <w:t xml:space="preserve">nr. 31848/07, § 41, 30 </w:t>
      </w:r>
      <w:r w:rsidR="00926AB1"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2013). </w:t>
      </w:r>
    </w:p>
    <w:p w14:paraId="13CE8DA9" w14:textId="53B7B94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142. Në çështje të tjera, Gjykata e ka lënë në diskrecionin 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që të vendosin nëse do t’i rihapin procedurat (shih, për shembull, </w:t>
      </w:r>
      <w:r w:rsidRPr="00BE1029">
        <w:rPr>
          <w:rFonts w:ascii="Garamond" w:hAnsi="Garamond" w:cs="Times New Roman"/>
          <w:i/>
          <w:iCs/>
          <w:color w:val="000000"/>
          <w:sz w:val="24"/>
          <w:szCs w:val="24"/>
          <w:lang w:val="sq-AL"/>
        </w:rPr>
        <w:t>Chim dhe Przywieczerski kundër Polonisë</w:t>
      </w:r>
      <w:r w:rsidRPr="00BE1029">
        <w:rPr>
          <w:rFonts w:ascii="Garamond" w:hAnsi="Garamond" w:cs="Times New Roman"/>
          <w:color w:val="000000"/>
          <w:sz w:val="24"/>
          <w:szCs w:val="24"/>
          <w:lang w:val="sq-AL"/>
        </w:rPr>
        <w:t xml:space="preserve">, nr. 36661/07 dhe 38433/07, § 219, 12 </w:t>
      </w:r>
      <w:r w:rsidR="00926AB1"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2018, dhe </w:t>
      </w:r>
      <w:r w:rsidRPr="00BE1029">
        <w:rPr>
          <w:rFonts w:ascii="Garamond" w:hAnsi="Garamond" w:cs="Times New Roman"/>
          <w:i/>
          <w:iCs/>
          <w:color w:val="000000"/>
          <w:sz w:val="24"/>
          <w:szCs w:val="24"/>
          <w:lang w:val="sq-AL"/>
        </w:rPr>
        <w:t>Dolińska-Ficek dhe Ozimek</w:t>
      </w:r>
      <w:r w:rsidRPr="00BE1029">
        <w:rPr>
          <w:rFonts w:ascii="Garamond" w:hAnsi="Garamond" w:cs="Times New Roman"/>
          <w:color w:val="000000"/>
          <w:sz w:val="24"/>
          <w:szCs w:val="24"/>
          <w:lang w:val="sq-AL"/>
        </w:rPr>
        <w:t>, cituar më sipër, § 368), ose ka miratuar masat e tyre me synimin për të bashkërenduar respektin për të drejtat e individëve</w:t>
      </w:r>
      <w:r w:rsidR="00926A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926A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me parimet për sigurinë ligjore, respektin për </w:t>
      </w:r>
      <w:r w:rsidRPr="00BE1029">
        <w:rPr>
          <w:rFonts w:ascii="Garamond" w:hAnsi="Garamond" w:cs="Times New Roman"/>
          <w:i/>
          <w:iCs/>
          <w:color w:val="000000"/>
          <w:sz w:val="24"/>
          <w:szCs w:val="24"/>
          <w:lang w:val="sq-AL"/>
        </w:rPr>
        <w:t xml:space="preserve">res judicata </w:t>
      </w:r>
      <w:r w:rsidRPr="00BE1029">
        <w:rPr>
          <w:rFonts w:ascii="Garamond" w:hAnsi="Garamond" w:cs="Times New Roman"/>
          <w:color w:val="000000"/>
          <w:sz w:val="24"/>
          <w:szCs w:val="24"/>
          <w:lang w:val="sq-AL"/>
        </w:rPr>
        <w:t xml:space="preserve">dhe aspekte të tjera në lidhje me rrethanat konkrete (shih </w:t>
      </w:r>
      <w:r w:rsidRPr="00BE1029">
        <w:rPr>
          <w:rFonts w:ascii="Garamond" w:hAnsi="Garamond" w:cs="Times New Roman"/>
          <w:i/>
          <w:iCs/>
          <w:color w:val="000000"/>
          <w:sz w:val="24"/>
          <w:szCs w:val="24"/>
          <w:lang w:val="sq-AL"/>
        </w:rPr>
        <w:t xml:space="preserve">Advance Pharma sp. Z o.o, </w:t>
      </w:r>
      <w:r w:rsidRPr="00BE1029">
        <w:rPr>
          <w:rFonts w:ascii="Garamond" w:hAnsi="Garamond" w:cs="Times New Roman"/>
          <w:color w:val="000000"/>
          <w:sz w:val="24"/>
          <w:szCs w:val="24"/>
          <w:lang w:val="sq-AL"/>
        </w:rPr>
        <w:t xml:space="preserve">cituar më sipër, §§ 127 dhe 365). </w:t>
      </w:r>
    </w:p>
    <w:p w14:paraId="761D5107" w14:textId="3182C66E" w:rsidR="00A43DB1" w:rsidRPr="00BE1029" w:rsidRDefault="00A43DB1" w:rsidP="00CD763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143. Së fundmi, pas vendimit të Gjykatës në çështjen </w:t>
      </w:r>
      <w:r w:rsidRPr="00BE1029">
        <w:rPr>
          <w:rFonts w:ascii="Garamond" w:hAnsi="Garamond" w:cs="Times New Roman"/>
          <w:i/>
          <w:iCs/>
          <w:color w:val="000000"/>
          <w:sz w:val="24"/>
          <w:szCs w:val="24"/>
          <w:lang w:val="sq-AL"/>
        </w:rPr>
        <w:t>Guðmundur Andri Ástráðsson</w:t>
      </w:r>
      <w:r w:rsidRPr="00BE1029">
        <w:rPr>
          <w:rFonts w:ascii="Garamond" w:hAnsi="Garamond" w:cs="Times New Roman"/>
          <w:color w:val="000000"/>
          <w:sz w:val="24"/>
          <w:szCs w:val="24"/>
          <w:lang w:val="sq-AL"/>
        </w:rPr>
        <w:t xml:space="preserve"> (cituar më sipër), Gjykata, në mbështetje të </w:t>
      </w:r>
      <w:r w:rsidR="00CD763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37 § 1 (c) të Konventës, vendosi të heqë nga lista e saj e çështjeve dy kërkesa të ngjashme kundër Islandës, me arsyetimin se Qeveria përgjegjëse e kishte njohur shkeljen për të cilën ishte bërë ankesa, dhe se ekzistonte një mundësi reale që procedurat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do të rihapeshin (shih </w:t>
      </w:r>
      <w:r w:rsidRPr="00BE1029">
        <w:rPr>
          <w:rFonts w:ascii="Garamond" w:hAnsi="Garamond" w:cs="Times New Roman"/>
          <w:i/>
          <w:iCs/>
          <w:color w:val="000000"/>
          <w:sz w:val="24"/>
          <w:szCs w:val="24"/>
          <w:lang w:val="sq-AL"/>
        </w:rPr>
        <w:t xml:space="preserve">Friðjón Björgvin Gunnarsson kundër Islandës </w:t>
      </w:r>
      <w:r w:rsidRPr="00BE1029">
        <w:rPr>
          <w:rFonts w:ascii="Garamond" w:hAnsi="Garamond" w:cs="Times New Roman"/>
          <w:sz w:val="24"/>
          <w:szCs w:val="24"/>
          <w:lang w:val="sq-AL"/>
        </w:rPr>
        <w:t>(vendim), nr. 6696/19, §§ 11</w:t>
      </w:r>
      <w:r w:rsidR="00CD7639">
        <w:rPr>
          <w:rFonts w:ascii="Garamond" w:hAnsi="Garamond" w:cs="Times New Roman"/>
          <w:sz w:val="24"/>
          <w:szCs w:val="24"/>
          <w:lang w:val="sq-AL"/>
        </w:rPr>
        <w:t>–</w:t>
      </w:r>
      <w:r w:rsidRPr="00BE1029">
        <w:rPr>
          <w:rFonts w:ascii="Garamond" w:hAnsi="Garamond" w:cs="Times New Roman"/>
          <w:sz w:val="24"/>
          <w:szCs w:val="24"/>
          <w:lang w:val="sq-AL"/>
        </w:rPr>
        <w:t xml:space="preserve">12, 2 </w:t>
      </w:r>
      <w:r w:rsidR="00CD7639" w:rsidRPr="00BE1029">
        <w:rPr>
          <w:rFonts w:ascii="Garamond" w:hAnsi="Garamond" w:cs="Times New Roman"/>
          <w:sz w:val="24"/>
          <w:szCs w:val="24"/>
          <w:lang w:val="sq-AL"/>
        </w:rPr>
        <w:t xml:space="preserve">qershor </w:t>
      </w:r>
      <w:r w:rsidRPr="00BE1029">
        <w:rPr>
          <w:rFonts w:ascii="Garamond" w:hAnsi="Garamond" w:cs="Times New Roman"/>
          <w:sz w:val="24"/>
          <w:szCs w:val="24"/>
          <w:lang w:val="sq-AL"/>
        </w:rPr>
        <w:t>2022</w:t>
      </w:r>
      <w:r w:rsidRPr="00BE1029">
        <w:rPr>
          <w:rFonts w:ascii="Garamond" w:hAnsi="Garamond" w:cs="Times New Roman"/>
          <w:color w:val="000000"/>
          <w:sz w:val="24"/>
          <w:szCs w:val="24"/>
          <w:lang w:val="sq-AL"/>
        </w:rPr>
        <w:t xml:space="preserve">). </w:t>
      </w:r>
    </w:p>
    <w:p w14:paraId="52510F00" w14:textId="580CDF5A"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B. Zbatimi i këtyre parimeve në çështjen konkrete</w:t>
      </w:r>
    </w:p>
    <w:p w14:paraId="026F3E27" w14:textId="0EEEA4E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144. Në lidhje me masat e përgjithshme, Gjykata vlerëson se L.D. u pezullua nga ushtrimi i funksioneve të tij si gjyqtar i KPA-së, më 24 </w:t>
      </w:r>
      <w:r w:rsidR="005719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2020, dhe u largua në mënyrë të përhershme nga ajo detyrë më 31 </w:t>
      </w:r>
      <w:r w:rsidR="005719B1"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2021 (shih paragrafin 114 më sipër). Gjithashtu, Gjykata përsërit se konstatimi i një shkelje në të drejtën për një gjykatë të krijuar me ligj në çështjen konkrete, në vetvete, mund të mos merret si shkak për të ushtruar një detyrim sipas Konventës ndaj Shtetit përgjegjës për të rihapur të gjitha çështjet e ngjashme të cilat janë bërë </w:t>
      </w:r>
      <w:r w:rsidRPr="00BE1029">
        <w:rPr>
          <w:rFonts w:ascii="Garamond" w:hAnsi="Garamond" w:cs="Times New Roman"/>
          <w:i/>
          <w:iCs/>
          <w:color w:val="000000"/>
          <w:sz w:val="24"/>
          <w:szCs w:val="24"/>
          <w:lang w:val="sq-AL"/>
        </w:rPr>
        <w:t xml:space="preserve">res judicata </w:t>
      </w:r>
      <w:r w:rsidRPr="00BE1029">
        <w:rPr>
          <w:rFonts w:ascii="Garamond" w:hAnsi="Garamond" w:cs="Times New Roman"/>
          <w:color w:val="000000"/>
          <w:sz w:val="24"/>
          <w:szCs w:val="24"/>
          <w:lang w:val="sq-AL"/>
        </w:rPr>
        <w:t xml:space="preserve">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(shih </w:t>
      </w:r>
      <w:r w:rsidRPr="00BE1029">
        <w:rPr>
          <w:rFonts w:ascii="Garamond" w:hAnsi="Garamond" w:cs="Times New Roman"/>
          <w:i/>
          <w:iCs/>
          <w:color w:val="000000"/>
          <w:sz w:val="24"/>
          <w:szCs w:val="24"/>
          <w:lang w:val="sq-AL"/>
        </w:rPr>
        <w:t>Guðmundur Andri Ástráðsson</w:t>
      </w:r>
      <w:r w:rsidRPr="00BE1029">
        <w:rPr>
          <w:rFonts w:ascii="Garamond" w:hAnsi="Garamond" w:cs="Times New Roman"/>
          <w:color w:val="000000"/>
          <w:sz w:val="24"/>
          <w:szCs w:val="24"/>
          <w:lang w:val="sq-AL"/>
        </w:rPr>
        <w:t xml:space="preserve">, cituar më sipër, § 314, dhe paragrafi 88 më sipër). </w:t>
      </w:r>
    </w:p>
    <w:p w14:paraId="00B0043C" w14:textId="3FAE7CD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145. Duke u kthyer te masat individuale, Gjykata fillimisht vlerëson se procedurat e rivlerësimit për ankuesin kryesisht kishin të bënin me të drejtat dhe detyrimet e tij si prokuror karriere dhe nuk kishin implikime, të paktën drejtpërdrejtë, për të drejtat dhe detyrimet e ndonjë pale të tretë. Gjithashtu, është e qartë se rezultati i atyre procedurave, të cilat rezultuan në shkarkimin e tij të menjëhershëm nga detyra dhe në detyrimin statutor</w:t>
      </w:r>
      <w:r w:rsidR="000A63A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e ndalonte në mënyrë të përhershme të rikthehej në pozicionin e magjistratit (shih </w:t>
      </w:r>
      <w:r w:rsidRPr="00BE1029">
        <w:rPr>
          <w:rFonts w:ascii="Garamond" w:hAnsi="Garamond" w:cs="Times New Roman"/>
          <w:i/>
          <w:iCs/>
          <w:color w:val="000000"/>
          <w:sz w:val="24"/>
          <w:szCs w:val="24"/>
          <w:lang w:val="sq-AL"/>
        </w:rPr>
        <w:t>Xhoxhaj</w:t>
      </w:r>
      <w:r w:rsidRPr="00BE1029">
        <w:rPr>
          <w:rFonts w:ascii="Garamond" w:hAnsi="Garamond" w:cs="Times New Roman"/>
          <w:color w:val="000000"/>
          <w:sz w:val="24"/>
          <w:szCs w:val="24"/>
          <w:lang w:val="sq-AL"/>
        </w:rPr>
        <w:t xml:space="preserve">, cituar më sipër, § 363), kishin pasoja serioze për karrierën e tij profesionale. </w:t>
      </w:r>
    </w:p>
    <w:p w14:paraId="7B9F2FC3" w14:textId="0F8ED48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146. Qeveria deklaroi se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ishte plotësisht e qartë nëse do të kishte një rihapje të procesit të rivlerësimit. </w:t>
      </w:r>
    </w:p>
    <w:p w14:paraId="24F844FF" w14:textId="521CA28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147. Nga ana tjetër, Qeveria parashtroi se në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ekzistonte ndonjë parashikim specifik i cili lejonte rihapjen e procesit të rivlerësimit. Qeveria sugjeroi se kjo mund të kishte qenë një zgjedhje e qëllimshme nga ana e legjislativit, pasi procesi i rivlerësimit ishte i kufizuar në aspektin kohor dhe rihapja e tij mund ta komplikonte procesin. Gjithashtu, Qeveria pohoi se </w:t>
      </w:r>
      <w:r w:rsidR="00934B6C"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F § 8 i aneksit të Kushtetutës, i cili parashikonte se personat e rivlerësuar kishin të drejtën të ushtronin ankim në Gjykatë, mund të interpretohej si tregues i qëllimit të legjislativit për të përjashtuar mundësinë e rihapjes së kërkesave për procedurat të cilat ishin përmbyllur me anë të vendimeve të KPA-së. </w:t>
      </w:r>
    </w:p>
    <w:p w14:paraId="637BA65A" w14:textId="0524D86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148. Nga ana tjetër, Qeveria iu referua detyrimit të Shtetit për të respektuar ligjin ndërkombëtar detyrues. Gjithashtu, Qeveria theksoi se </w:t>
      </w:r>
      <w:r w:rsidR="00FA6FF8"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494(ë) i Kodit të Procedurës Civile dhe </w:t>
      </w:r>
      <w:r w:rsidR="007D0E54"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71/c i </w:t>
      </w:r>
      <w:r w:rsidR="007D0E54"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për Gjykatën Kushtetuese (shih paragrafët 49, 56 dhe 57 më sipër) parashikonin rihapjen e procedurave civile dhe kushtetuese, respektivisht, pas konstatimit nga ana e Gjykatës së një shkelje, sipas kushteve të parashikuara në atë nen. Këto parashikime mund të shërbenin potencialisht si baza për rihapjen e procedurave konkrete, dhe në një rast të tillë, sipas këndvështrimit të Qeverisë, KPA do të ishte organi me juridiksionin për t’i marrë në konsideratë ato kërkesa. </w:t>
      </w:r>
    </w:p>
    <w:p w14:paraId="19A9C1FC" w14:textId="5A9B7616" w:rsidR="00A43DB1" w:rsidRPr="00BE1029" w:rsidRDefault="00A43DB1" w:rsidP="00861D6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149. Gjykata mban në konsideratë qëndrimin e Qeverisë, se mund të ketë një rrugë ligjore për ankuesin që të kërkojë rihapjen e procedurave. Në këtë mënyrë, duke pasur parasysh rrethanat e çështjes konkrete, dhe pikën deri ku kjo gjë mund të jetë e mundur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forma më e përshtatshme e korrigjimit për shkeljen e </w:t>
      </w:r>
      <w:r w:rsidR="00861D65">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drejtës së kërkuesit për një “gjykatë të krijuar me ligj”, sipas </w:t>
      </w:r>
      <w:r w:rsidR="007D0E5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do të ishte rihapja e procedurave, nëse ankuesi e kërkonte një rihapje të tillë, si edhe rishqyrtimi i çështjes në një mënyrë e cila i përmbahet të gjitha kërkesave të </w:t>
      </w:r>
      <w:r w:rsidR="007D0E5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w:t>
      </w:r>
    </w:p>
    <w:p w14:paraId="20839A9E" w14:textId="23208FC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150. Së fundmi, ankuesi kërkoi që Gjykata të prishte vendimin e KPA-së, të datës 27 </w:t>
      </w:r>
      <w:r w:rsidR="007D0E54"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dhe i kërkonte Qeverisë që ta rikthente në detyrën e tij të mëparshme menjëherë. Sipas juridiksionit </w:t>
      </w:r>
      <w:r w:rsidRPr="00BE1029">
        <w:rPr>
          <w:rFonts w:ascii="Garamond" w:hAnsi="Garamond" w:cs="Times New Roman"/>
          <w:color w:val="000000"/>
          <w:sz w:val="24"/>
          <w:szCs w:val="24"/>
          <w:lang w:val="sq-AL"/>
        </w:rPr>
        <w:lastRenderedPageBreak/>
        <w:t>të saj (shih paragrafin 139 më sipër) dhe natyrës së shkeljes</w:t>
      </w:r>
      <w:r w:rsidR="007D0E5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u konstatua në lidhje me procedurat e rivlerësimit të kërkuesit, Gjykata e refuzon këtë kërkesë. </w:t>
      </w:r>
    </w:p>
    <w:p w14:paraId="73CF7078"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81A99F6" w14:textId="77777777" w:rsidR="00A43DB1" w:rsidRPr="00BE1029" w:rsidRDefault="00A43DB1" w:rsidP="00B96B01">
      <w:pPr>
        <w:autoSpaceDE w:val="0"/>
        <w:autoSpaceDN w:val="0"/>
        <w:adjustRightInd w:val="0"/>
        <w:spacing w:after="0" w:line="240" w:lineRule="auto"/>
        <w:jc w:val="center"/>
        <w:rPr>
          <w:rFonts w:ascii="Garamond" w:hAnsi="Garamond" w:cs="Times New Roman"/>
          <w:color w:val="000000"/>
          <w:sz w:val="24"/>
          <w:szCs w:val="24"/>
          <w:lang w:val="sq-AL"/>
        </w:rPr>
      </w:pPr>
      <w:r w:rsidRPr="00BE1029">
        <w:rPr>
          <w:rFonts w:ascii="Garamond" w:hAnsi="Garamond" w:cs="Times New Roman"/>
          <w:color w:val="000000"/>
          <w:sz w:val="24"/>
          <w:szCs w:val="24"/>
          <w:lang w:val="sq-AL"/>
        </w:rPr>
        <w:t>PËR KËTO ARSYE, GJYKATA</w:t>
      </w:r>
    </w:p>
    <w:p w14:paraId="2F9161A3"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75B7A03" w14:textId="38E3C3A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1. E deklaron, </w:t>
      </w:r>
      <w:r w:rsidRPr="00BE1029">
        <w:rPr>
          <w:rFonts w:ascii="Garamond" w:hAnsi="Garamond" w:cs="Times New Roman"/>
          <w:color w:val="000000"/>
          <w:sz w:val="24"/>
          <w:szCs w:val="24"/>
          <w:lang w:val="sq-AL"/>
        </w:rPr>
        <w:t xml:space="preserve">unanimisht, ankesën bërë në bazë të </w:t>
      </w:r>
      <w:r w:rsidR="00A2702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në lidhje me të drejtën e kërkuesit për një “gjykatë të krijuar me ligj” të pranueshme, dhe ankesën në bazë të </w:t>
      </w:r>
      <w:r w:rsidR="00EA580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13 të Konventës në lidhje me mungesën e një mjeti efektiv ndaj vendimit të KPA</w:t>
      </w:r>
      <w:r w:rsidR="00EA5809">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të papranueshme; </w:t>
      </w:r>
    </w:p>
    <w:p w14:paraId="30C42485" w14:textId="764D24D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2. Vlerëson, </w:t>
      </w:r>
      <w:r w:rsidRPr="00BE1029">
        <w:rPr>
          <w:rFonts w:ascii="Garamond" w:hAnsi="Garamond" w:cs="Times New Roman"/>
          <w:color w:val="000000"/>
          <w:sz w:val="24"/>
          <w:szCs w:val="24"/>
          <w:lang w:val="sq-AL"/>
        </w:rPr>
        <w:t xml:space="preserve">unanimisht, se është shkelur </w:t>
      </w:r>
      <w:r w:rsidR="002E6A19"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6 § 1 i Konventës</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në lidhje me të drejtën e ankuesit për një “gjykatë të krijuar me ligj”; </w:t>
      </w:r>
    </w:p>
    <w:p w14:paraId="44BC04AF" w14:textId="4C8CA85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3. Vlerëson, </w:t>
      </w:r>
      <w:r w:rsidRPr="00BE1029">
        <w:rPr>
          <w:rFonts w:ascii="Garamond" w:hAnsi="Garamond" w:cs="Times New Roman"/>
          <w:color w:val="000000"/>
          <w:sz w:val="24"/>
          <w:szCs w:val="24"/>
          <w:lang w:val="sq-AL"/>
        </w:rPr>
        <w:t>me gjashtë vota pro dhe një kundër, se nuk është e nevojshme të shqyrtohe</w:t>
      </w:r>
      <w:r w:rsidR="00B96B01" w:rsidRPr="00BE1029">
        <w:rPr>
          <w:rFonts w:ascii="Garamond" w:hAnsi="Garamond" w:cs="Times New Roman"/>
          <w:color w:val="000000"/>
          <w:sz w:val="24"/>
          <w:szCs w:val="24"/>
          <w:lang w:val="sq-AL"/>
        </w:rPr>
        <w:t>n ankesat e tjera sipas nenit 6</w:t>
      </w:r>
      <w:r w:rsidR="00066190" w:rsidRPr="00BE1029">
        <w:rPr>
          <w:rFonts w:ascii="Garamond" w:hAnsi="Garamond" w:cs="Times New Roman"/>
          <w:color w:val="000000"/>
          <w:sz w:val="24"/>
          <w:szCs w:val="24"/>
          <w:lang w:val="sq-AL"/>
        </w:rPr>
        <w:t xml:space="preserve"> </w:t>
      </w:r>
      <w:r w:rsidR="00B96B01" w:rsidRPr="00BE1029">
        <w:rPr>
          <w:rFonts w:ascii="Garamond" w:hAnsi="Garamond" w:cs="Times New Roman"/>
          <w:color w:val="000000"/>
          <w:sz w:val="24"/>
          <w:szCs w:val="24"/>
          <w:lang w:val="sq-AL"/>
        </w:rPr>
        <w:t>§</w:t>
      </w:r>
      <w:r w:rsidR="00066190"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1 dhe 8 të Konventës; </w:t>
      </w:r>
    </w:p>
    <w:p w14:paraId="057A98CA" w14:textId="3D1FC00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4. Rrëzon</w:t>
      </w:r>
      <w:r w:rsidRPr="00BE1029">
        <w:rPr>
          <w:rFonts w:ascii="Garamond" w:hAnsi="Garamond" w:cs="Times New Roman"/>
          <w:color w:val="000000"/>
          <w:sz w:val="24"/>
          <w:szCs w:val="24"/>
          <w:lang w:val="sq-AL"/>
        </w:rPr>
        <w:t xml:space="preserve">, unanimisht, pretendimin e ankuesit për shpërblim të drejtë për sa i përket shpërblimit monetar; </w:t>
      </w:r>
    </w:p>
    <w:p w14:paraId="138EA887" w14:textId="2E5E6AC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5. Vlerëson</w:t>
      </w:r>
      <w:r w:rsidRPr="00BE1029">
        <w:rPr>
          <w:rFonts w:ascii="Garamond" w:hAnsi="Garamond" w:cs="Times New Roman"/>
          <w:color w:val="000000"/>
          <w:sz w:val="24"/>
          <w:szCs w:val="24"/>
          <w:lang w:val="sq-AL"/>
        </w:rPr>
        <w:t xml:space="preserve">, me gjashtë vota pro dhe një kundër, se konstatimi i shkeljes përbën shpërblim të drejtë të mjaftueshëm për sa i përket shpërblimit jopasuror. </w:t>
      </w:r>
    </w:p>
    <w:p w14:paraId="5D5B6AA9" w14:textId="3D7CDEC7" w:rsidR="00A43DB1" w:rsidRPr="00BE1029" w:rsidRDefault="00A43DB1" w:rsidP="00B82901">
      <w:pPr>
        <w:pStyle w:val="TEKSTIIII"/>
      </w:pPr>
      <w:r w:rsidRPr="00BE1029">
        <w:t xml:space="preserve">Hartuar në gjuhën angleze dhe njoftuar me shkrim më datë 4 </w:t>
      </w:r>
      <w:r w:rsidR="00EA5809" w:rsidRPr="00BE1029">
        <w:t xml:space="preserve">tetor </w:t>
      </w:r>
      <w:r w:rsidRPr="00BE1029">
        <w:t xml:space="preserve">2022, sipas Rregullit 77 §§ 2 dhe 3 të Rregullores së Gjykatës. </w:t>
      </w:r>
    </w:p>
    <w:p w14:paraId="162DA21F"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FB13D4D" w14:textId="644C1948" w:rsidR="00A43DB1" w:rsidRPr="00BE1029" w:rsidRDefault="00A43DB1" w:rsidP="00EA5809">
      <w:pPr>
        <w:autoSpaceDE w:val="0"/>
        <w:autoSpaceDN w:val="0"/>
        <w:adjustRightInd w:val="0"/>
        <w:spacing w:after="0" w:line="240" w:lineRule="auto"/>
        <w:ind w:firstLine="284"/>
        <w:jc w:val="right"/>
        <w:rPr>
          <w:rFonts w:ascii="Garamond" w:hAnsi="Garamond" w:cs="Times New Roman"/>
          <w:b/>
          <w:color w:val="000000"/>
          <w:sz w:val="24"/>
          <w:szCs w:val="24"/>
          <w:lang w:val="sq-AL"/>
        </w:rPr>
      </w:pPr>
      <w:r w:rsidRPr="00BE1029">
        <w:rPr>
          <w:rFonts w:ascii="Garamond" w:hAnsi="Garamond" w:cs="Times New Roman"/>
          <w:b/>
          <w:color w:val="000000"/>
          <w:sz w:val="24"/>
          <w:szCs w:val="24"/>
          <w:lang w:val="sq-AL"/>
        </w:rPr>
        <w:t>Georges Ravarani</w:t>
      </w:r>
    </w:p>
    <w:p w14:paraId="7D899C18" w14:textId="5EA16FBC" w:rsidR="00A43DB1" w:rsidRPr="00BE102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KRYETAR </w:t>
      </w:r>
    </w:p>
    <w:p w14:paraId="0A506F64" w14:textId="77777777" w:rsidR="00EA5809" w:rsidRDefault="00EA5809" w:rsidP="00EA5809">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0BC68883" w14:textId="77777777" w:rsidR="00EA580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b/>
          <w:color w:val="000000"/>
          <w:sz w:val="24"/>
          <w:szCs w:val="24"/>
          <w:lang w:val="sq-AL"/>
        </w:rPr>
        <w:t>Milan Blaško</w:t>
      </w:r>
      <w:r w:rsidRPr="00EA5809">
        <w:rPr>
          <w:rFonts w:ascii="Garamond" w:hAnsi="Garamond" w:cs="Times New Roman"/>
          <w:color w:val="000000"/>
          <w:sz w:val="24"/>
          <w:szCs w:val="24"/>
          <w:lang w:val="sq-AL"/>
        </w:rPr>
        <w:t xml:space="preserve"> </w:t>
      </w:r>
    </w:p>
    <w:p w14:paraId="23363EEE" w14:textId="60E31398" w:rsidR="00A43DB1" w:rsidRPr="00BE102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SEKRETAR</w:t>
      </w:r>
    </w:p>
    <w:p w14:paraId="0F9961FA" w14:textId="77777777" w:rsidR="00EA5809" w:rsidRDefault="00EA5809"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E68AECA" w14:textId="18F228F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Në përputhje me </w:t>
      </w:r>
      <w:r w:rsidR="004B29AC"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45 § 2 të Konventës, dhe Rregullit 74 § 2 të Rregullores së Gjykatës, opinioni i veçuar i Gjyqtarit Serghides i aneksohet këtij vendimi. </w:t>
      </w:r>
    </w:p>
    <w:p w14:paraId="59EC49CB" w14:textId="30015DB6" w:rsidR="00A43DB1" w:rsidRPr="00BE1029" w:rsidRDefault="00A43DB1" w:rsidP="006F2283">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G.R.</w:t>
      </w:r>
    </w:p>
    <w:p w14:paraId="58D7D61F" w14:textId="3F74D7F3" w:rsidR="00A43DB1" w:rsidRPr="00BE1029" w:rsidRDefault="00A43DB1" w:rsidP="006F2283">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M.B.</w:t>
      </w:r>
    </w:p>
    <w:p w14:paraId="7E31AE87" w14:textId="77777777" w:rsidR="00A43DB1" w:rsidRPr="00BE1029" w:rsidRDefault="00A43DB1" w:rsidP="00A43DB1">
      <w:pPr>
        <w:spacing w:after="0" w:line="240" w:lineRule="auto"/>
        <w:ind w:firstLine="284"/>
        <w:jc w:val="both"/>
        <w:rPr>
          <w:rFonts w:ascii="Garamond" w:hAnsi="Garamond"/>
          <w:i/>
          <w:sz w:val="24"/>
          <w:szCs w:val="24"/>
          <w:lang w:val="sq-AL"/>
        </w:rPr>
      </w:pPr>
    </w:p>
    <w:p w14:paraId="3EF88D2D" w14:textId="77777777" w:rsidR="00B82901" w:rsidRPr="00BE1029" w:rsidRDefault="00B82901" w:rsidP="00B82901">
      <w:pPr>
        <w:pStyle w:val="ECHRPara"/>
        <w:spacing w:line="240" w:lineRule="auto"/>
        <w:ind w:firstLine="284"/>
        <w:jc w:val="center"/>
        <w:rPr>
          <w:rFonts w:ascii="Garamond" w:hAnsi="Garamond"/>
        </w:rPr>
      </w:pPr>
      <w:r w:rsidRPr="00BE1029">
        <w:rPr>
          <w:rFonts w:ascii="Garamond" w:hAnsi="Garamond"/>
        </w:rPr>
        <w:t>MENDIMI PJESËRISHT DAKORDËSUES DHE PJESËRISHT KUNDËRSHTUES I GJYQTARIT SERGHIDES</w:t>
      </w:r>
    </w:p>
    <w:p w14:paraId="7E07AFD9" w14:textId="04943C1D" w:rsidR="00B82901" w:rsidRPr="00BE1029" w:rsidRDefault="00B82901" w:rsidP="00914EA4">
      <w:pPr>
        <w:pStyle w:val="ECHRPara"/>
        <w:autoSpaceDE/>
        <w:autoSpaceDN/>
        <w:adjustRightInd/>
        <w:spacing w:after="0" w:line="240" w:lineRule="auto"/>
        <w:ind w:left="284" w:firstLine="0"/>
        <w:jc w:val="left"/>
        <w:rPr>
          <w:rFonts w:ascii="Garamond" w:hAnsi="Garamond"/>
          <w:b/>
          <w:bCs/>
        </w:rPr>
      </w:pPr>
      <w:r w:rsidRPr="00BE1029">
        <w:rPr>
          <w:rFonts w:ascii="Garamond" w:hAnsi="Garamond"/>
          <w:b/>
          <w:bCs/>
        </w:rPr>
        <w:t>I. Hyrje</w:t>
      </w:r>
    </w:p>
    <w:p w14:paraId="07F20F59" w14:textId="4CC11B21" w:rsidR="00B82901" w:rsidRPr="00BE1029" w:rsidRDefault="00B82901" w:rsidP="00B82901">
      <w:pPr>
        <w:pStyle w:val="TEKSTIIII"/>
      </w:pPr>
      <w:r w:rsidRPr="00BE1029">
        <w:t>1. Kjo çështje, kryesisht, ka të bëjë me ankesën e kërkuesit se shkarkimi i tij nga detyra si prokuror nga Kolegji i Posaçëm i Apelimit cenonte të drejtën e tij për një gjykim të drejtë</w:t>
      </w:r>
      <w:r w:rsidR="003364E2">
        <w:t>,</w:t>
      </w:r>
      <w:r w:rsidRPr="00BE1029">
        <w:t xml:space="preserve"> sipas </w:t>
      </w:r>
      <w:r w:rsidR="003364E2" w:rsidRPr="00BE1029">
        <w:t xml:space="preserve">nenit </w:t>
      </w:r>
      <w:r w:rsidRPr="00BE1029">
        <w:t>6 § 1 të Konventës. Kjo për shkakun</w:t>
      </w:r>
      <w:r w:rsidR="0044730F">
        <w:t>,</w:t>
      </w:r>
      <w:r w:rsidRPr="00BE1029">
        <w:t xml:space="preserve"> sepse Kolegji i Posaçëm i Apelimit nuk ishte një “gjykatë e krijuar me ligj”, pasi njëri prej gjyqtarëve i cili u ul në atë Kolegj dhe gjykoi çështjen e tij ishte emëruar në atë pozicion në shkelje të një kriteri statutor për përzgjedhshmërinë. </w:t>
      </w:r>
    </w:p>
    <w:p w14:paraId="6C437204" w14:textId="120B6085" w:rsidR="00B82901" w:rsidRPr="00BE1029" w:rsidRDefault="00B82901" w:rsidP="00B82901">
      <w:pPr>
        <w:pStyle w:val="TEKSTIIII"/>
      </w:pPr>
      <w:r w:rsidRPr="00BE1029">
        <w:t xml:space="preserve">Duhet të theksohet se në çështjen </w:t>
      </w:r>
      <w:r w:rsidRPr="00BE1029">
        <w:rPr>
          <w:i/>
          <w:iCs/>
        </w:rPr>
        <w:t xml:space="preserve">DMD GROUP, a.s.v. kundër Sllovakisë </w:t>
      </w:r>
      <w:r w:rsidRPr="00BE1029">
        <w:t xml:space="preserve">(nr. 19334/03, § 58, 5 </w:t>
      </w:r>
      <w:r w:rsidR="0044730F" w:rsidRPr="00BE1029">
        <w:t xml:space="preserve">tetor </w:t>
      </w:r>
      <w:r w:rsidRPr="00BE1029">
        <w:t xml:space="preserve">2010), Gjykata vlerësonte se “sipas </w:t>
      </w:r>
      <w:r w:rsidR="0044730F" w:rsidRPr="00BE1029">
        <w:t xml:space="preserve">nenit </w:t>
      </w:r>
      <w:r w:rsidRPr="00BE1029">
        <w:t>6 § 1 të Konventës, një gjykatë duhet të krijohet gjithmonë me ligj dhe</w:t>
      </w:r>
      <w:r w:rsidR="0044730F">
        <w:t>,</w:t>
      </w:r>
      <w:r w:rsidRPr="00BE1029">
        <w:t xml:space="preserve"> se “ky përcaktim reflekton parimin e shtetit të së drejtës, i cili është pjesë e qenësishme në sistemin e mbrojtjes parashikuar nga Konventa dhe Protokollet e saj”. </w:t>
      </w:r>
    </w:p>
    <w:p w14:paraId="7279F57E" w14:textId="1BDC4C57" w:rsidR="00B82901" w:rsidRPr="00BE1029" w:rsidRDefault="00B82901" w:rsidP="00B82901">
      <w:pPr>
        <w:pStyle w:val="TEKSTIIII"/>
      </w:pPr>
      <w:r w:rsidRPr="00BE1029">
        <w:t xml:space="preserve">2. Duke deklaruar pozicionin tim në lidhje me parashikimet operative të vendimit, unë jam dakord me pikat 1, 2 dhe 4, dhe me respekt, nuk jam dakord me pikat 3 dhe 5. Më poshtë do të shpjegoj arsyet e mia se përse nuk jam dakord. </w:t>
      </w:r>
    </w:p>
    <w:p w14:paraId="64B60642" w14:textId="61F36AFD" w:rsidR="00B82901" w:rsidRPr="00BE1029" w:rsidRDefault="00316502" w:rsidP="00316502">
      <w:pPr>
        <w:pStyle w:val="TEKSTIIII"/>
        <w:rPr>
          <w:b/>
        </w:rPr>
      </w:pPr>
      <w:r w:rsidRPr="00BE1029">
        <w:rPr>
          <w:b/>
        </w:rPr>
        <w:t xml:space="preserve">II. </w:t>
      </w:r>
      <w:r w:rsidR="00B82901" w:rsidRPr="00BE1029">
        <w:rPr>
          <w:b/>
        </w:rPr>
        <w:t>Pasojat e konstatimit se nuk ekziston një “gjykatë e krijuar me ligj”</w:t>
      </w:r>
    </w:p>
    <w:p w14:paraId="4689EC69" w14:textId="4E9C61CC" w:rsidR="00B82901" w:rsidRPr="00BE1029" w:rsidRDefault="00316502" w:rsidP="00316502">
      <w:pPr>
        <w:pStyle w:val="TEKSTIIII"/>
      </w:pPr>
      <w:r w:rsidRPr="00BE1029">
        <w:lastRenderedPageBreak/>
        <w:t xml:space="preserve">3. </w:t>
      </w:r>
      <w:r w:rsidR="00B82901" w:rsidRPr="00BE1029">
        <w:t>Unë, nuk jam dakord, veçanërisht, me paragrafin 129 të vendimit dhe pikën respektive numër 3 të parashikimeve të tij operative, më konkretisht</w:t>
      </w:r>
      <w:r w:rsidR="00047A08">
        <w:t>,</w:t>
      </w:r>
      <w:r w:rsidR="00B82901" w:rsidRPr="00BE1029">
        <w:t xml:space="preserve"> sepse për shkak të konstatimit se nuk ka një “gjykatë të krijuar me ligj”, nuk është e nevojshme të shqyrtohet pjesa tjetër e ankesave sipas </w:t>
      </w:r>
      <w:r w:rsidR="00047A08" w:rsidRPr="00BE1029">
        <w:t xml:space="preserve">nenit </w:t>
      </w:r>
      <w:r w:rsidR="00B82901" w:rsidRPr="00BE1029">
        <w:t xml:space="preserve">6 § 1 dhe </w:t>
      </w:r>
      <w:r w:rsidR="00047A08" w:rsidRPr="00BE1029">
        <w:t xml:space="preserve">nenit </w:t>
      </w:r>
      <w:r w:rsidR="00B82901" w:rsidRPr="00BE1029">
        <w:t xml:space="preserve">8 të Konventës. Në opinionin tim, pas konstatimit se nuk ekziston një “gjykatë e krijuar me ligj”, “ankesat e tjera” të pretenduara shkëputen menjëherë dhe automatikisht nga objekti dhe ekzistenca </w:t>
      </w:r>
      <w:r w:rsidR="00B82901" w:rsidRPr="00BE1029">
        <w:rPr>
          <w:i/>
          <w:iCs/>
        </w:rPr>
        <w:t>ex tunc</w:t>
      </w:r>
      <w:r w:rsidR="00B82901" w:rsidRPr="00BE1029">
        <w:t xml:space="preserve"> dhe, për këtë arsye, ato do të duhej të ishin kundërshtuar si të papranueshme </w:t>
      </w:r>
      <w:r w:rsidR="00B82901" w:rsidRPr="00BE1029">
        <w:rPr>
          <w:i/>
          <w:iCs/>
        </w:rPr>
        <w:t>ratione materiae</w:t>
      </w:r>
      <w:r w:rsidR="00B82901" w:rsidRPr="00BE1029">
        <w:t xml:space="preserve">, në mbështetje të </w:t>
      </w:r>
      <w:r w:rsidR="006167CC" w:rsidRPr="00BE1029">
        <w:t xml:space="preserve">nenit </w:t>
      </w:r>
      <w:r w:rsidR="00B82901" w:rsidRPr="00BE1029">
        <w:t xml:space="preserve">35 §§ 3 (a) dhe 4 të Konventës. Mungesa e një “gjykate të krijuar me ligj” kishte dy lloje pasojash në lidhje me </w:t>
      </w:r>
      <w:r w:rsidR="00047A08" w:rsidRPr="00BE1029">
        <w:t xml:space="preserve">nenin </w:t>
      </w:r>
      <w:r w:rsidR="00B82901" w:rsidRPr="00BE1029">
        <w:t xml:space="preserve">6, fillimisht duke e bërë të gjithë gjykimin të padrejtë, dhe së dyti, duke i bërë çdo ankesë tjetër sipas këtij parashikimi të papranueshme </w:t>
      </w:r>
      <w:r w:rsidR="00B82901" w:rsidRPr="00BE1029">
        <w:rPr>
          <w:i/>
          <w:iCs/>
        </w:rPr>
        <w:t xml:space="preserve">ratione materiae. </w:t>
      </w:r>
      <w:r w:rsidR="00B82901" w:rsidRPr="00BE1029">
        <w:t xml:space="preserve">Nga ana tjetër, mungesa e garancive të </w:t>
      </w:r>
      <w:r w:rsidR="00047A08" w:rsidRPr="00BE1029">
        <w:t xml:space="preserve">nenit </w:t>
      </w:r>
      <w:r w:rsidR="00B82901" w:rsidRPr="00BE1029">
        <w:t xml:space="preserve">6 mund ta bëjë të gjithë gjykimin të padrejtë, por nuk mund të bëjë ankesat e tjera sipas </w:t>
      </w:r>
      <w:r w:rsidR="00047A08" w:rsidRPr="00BE1029">
        <w:t xml:space="preserve">nenit </w:t>
      </w:r>
      <w:r w:rsidR="00B82901" w:rsidRPr="00BE1029">
        <w:t xml:space="preserve">6 të papranueshme </w:t>
      </w:r>
      <w:r w:rsidR="00B82901" w:rsidRPr="00BE1029">
        <w:rPr>
          <w:i/>
          <w:iCs/>
        </w:rPr>
        <w:t xml:space="preserve">ratione materiae. </w:t>
      </w:r>
    </w:p>
    <w:p w14:paraId="343F5129" w14:textId="27BC5960" w:rsidR="00B82901" w:rsidRPr="00BE1029" w:rsidRDefault="00316502" w:rsidP="00316502">
      <w:pPr>
        <w:pStyle w:val="TEKSTIIII"/>
      </w:pPr>
      <w:r w:rsidRPr="00BE1029">
        <w:t xml:space="preserve">4. </w:t>
      </w:r>
      <w:r w:rsidR="00B82901" w:rsidRPr="00BE1029">
        <w:t xml:space="preserve">Në të vërtetë, qasja e vendimit në çështjen konkrete është e ngjashme me vendimin për çështjen </w:t>
      </w:r>
      <w:r w:rsidR="00B82901" w:rsidRPr="00BE1029">
        <w:rPr>
          <w:i/>
          <w:iCs/>
          <w:shd w:val="clear" w:color="auto" w:fill="FFFFFF"/>
        </w:rPr>
        <w:t xml:space="preserve">Guðmundur Andri Ástráðsson kundër Islandës </w:t>
      </w:r>
      <w:r w:rsidR="00B82901" w:rsidRPr="00BE1029">
        <w:t xml:space="preserve">([DHM], nr. 26374/18, § 295, dhe pika 2 e pjesës operative, 1 </w:t>
      </w:r>
      <w:r w:rsidR="00114426" w:rsidRPr="00BE1029">
        <w:t xml:space="preserve">dhjetor </w:t>
      </w:r>
      <w:r w:rsidR="00B82901" w:rsidRPr="00BE1029">
        <w:t xml:space="preserve">2020), ku, pas konstatimit se nuk kishte pasur një “gjykatë të krijuar me ligj” – një garanci e parashikuar në </w:t>
      </w:r>
      <w:r w:rsidR="00FF0A70" w:rsidRPr="00BE1029">
        <w:t xml:space="preserve">nenin </w:t>
      </w:r>
      <w:r w:rsidR="00B82901" w:rsidRPr="00BE1029">
        <w:t xml:space="preserve">6 – Gjykata vendosi me shumicë se nuk ishte “e nevojshme të shqyrtohej pjesa tjetër e ankimeve sipas </w:t>
      </w:r>
      <w:r w:rsidR="00FF0A70" w:rsidRPr="00BE1029">
        <w:t xml:space="preserve">nenit </w:t>
      </w:r>
      <w:r w:rsidR="00B82901" w:rsidRPr="00BE1029">
        <w:t xml:space="preserve">6 § 1”, që kishte të bënte me ankesat ku pretendohej mungesa e pavarësisë dhe e paanshmërisë së një gjykate. </w:t>
      </w:r>
    </w:p>
    <w:p w14:paraId="7C1963A3" w14:textId="5BBCBFF4" w:rsidR="00B82901" w:rsidRPr="00BE1029" w:rsidRDefault="00D842C8" w:rsidP="008B7CC1">
      <w:pPr>
        <w:pStyle w:val="TEKSTIIII"/>
      </w:pPr>
      <w:r w:rsidRPr="00BE1029">
        <w:t xml:space="preserve">5. </w:t>
      </w:r>
      <w:r w:rsidR="00B82901" w:rsidRPr="00BE1029">
        <w:t xml:space="preserve">Megjithatë, në opinionin tim pjesërisht kundërshtues në çështjen </w:t>
      </w:r>
      <w:r w:rsidR="00B82901" w:rsidRPr="00BE1029">
        <w:rPr>
          <w:i/>
          <w:iCs/>
          <w:shd w:val="clear" w:color="auto" w:fill="FFFFFF"/>
        </w:rPr>
        <w:t>Guðmundur Andri Ástráðsson</w:t>
      </w:r>
      <w:r w:rsidR="00B82901" w:rsidRPr="00BE1029">
        <w:t xml:space="preserve">, unë nuk isha dakord me shumicën se nuk ishte e nevojshme të shqyrtoheshin ankesat e tjera, dhe unë propozova se pas konstatimit se nuk kishte gjykatë të krijuar me ligj, “ankesat e tjera” të pretenduara, më konkretisht ato që kishin të bënin me garancitë e një gjykate të pavarur dhe të paanshme, shkëputeshin menjëherë dhe automatikisht nga objekti dhe ekzistenca </w:t>
      </w:r>
      <w:r w:rsidR="00B82901" w:rsidRPr="00BE1029">
        <w:rPr>
          <w:i/>
          <w:iCs/>
        </w:rPr>
        <w:t>ex tunc</w:t>
      </w:r>
      <w:r w:rsidR="00B82901" w:rsidRPr="00BE1029">
        <w:t xml:space="preserve">, dhe për këtë arsye at do të duhej të ishin rrëzuar si të papranueshme </w:t>
      </w:r>
      <w:r w:rsidR="00B82901" w:rsidRPr="00BE1029">
        <w:rPr>
          <w:i/>
          <w:iCs/>
        </w:rPr>
        <w:t>ratione materiae</w:t>
      </w:r>
      <w:r w:rsidR="0058695F">
        <w:rPr>
          <w:i/>
          <w:iCs/>
        </w:rPr>
        <w:t>,</w:t>
      </w:r>
      <w:r w:rsidR="00B82901" w:rsidRPr="00BE1029">
        <w:t xml:space="preserve"> sipas </w:t>
      </w:r>
      <w:r w:rsidR="0058695F" w:rsidRPr="00BE1029">
        <w:t xml:space="preserve">nenit </w:t>
      </w:r>
      <w:r w:rsidR="00B82901" w:rsidRPr="00BE1029">
        <w:t>35 §§ 3 (a) dhe 4 të Konventës</w:t>
      </w:r>
      <w:r w:rsidR="00B82901" w:rsidRPr="00BE1029">
        <w:rPr>
          <w:rStyle w:val="FootnoteReference"/>
        </w:rPr>
        <w:footnoteReference w:id="2"/>
      </w:r>
      <w:r w:rsidR="00B82901" w:rsidRPr="00BE1029">
        <w:t>. Unë argumentova</w:t>
      </w:r>
      <w:r w:rsidR="00B82901" w:rsidRPr="00BE1029">
        <w:rPr>
          <w:rStyle w:val="FootnoteReference"/>
        </w:rPr>
        <w:footnoteReference w:id="3"/>
      </w:r>
      <w:r w:rsidR="00B82901" w:rsidRPr="00BE1029">
        <w:t xml:space="preserve"> edhe se nëse nuk ekziston një “gjykatë”, siç ishte edhe konstatimi i Gjykatës në atë çështje, për shkak të mungesës se një gjykate të krijuar me ligj, nuk ekziston emri, dhe në këtë mënyrë as objekti, të cilit mund t’i vendosen mbiemrat “i pavarur” dhe “i paanshëm”, duke rezultuar në shkëputjen e këtyre mbiemrave nga objekti dhe ekzistenca. Të gjitha kërkesat e </w:t>
      </w:r>
      <w:r w:rsidR="009F5986">
        <w:t>s</w:t>
      </w:r>
      <w:r w:rsidR="00B82901" w:rsidRPr="00BE1029">
        <w:t xml:space="preserve">ë drejtës për një gjykim të drejtë të parashikuara në </w:t>
      </w:r>
      <w:r w:rsidR="00EF1E50" w:rsidRPr="00BE1029">
        <w:t xml:space="preserve">nenin </w:t>
      </w:r>
      <w:r w:rsidR="00B82901" w:rsidRPr="00BE1029">
        <w:t xml:space="preserve">6 § 1 janë të domosdoshme, dhe pa ato nuk mund të sigurohet ajo e drejtë. Megjithatë, e vetmja kërkesë e pavarur e </w:t>
      </w:r>
      <w:r w:rsidR="00EF1E50" w:rsidRPr="00BE1029">
        <w:t xml:space="preserve">nenit </w:t>
      </w:r>
      <w:r w:rsidR="00B82901" w:rsidRPr="00BE1029">
        <w:t xml:space="preserve">6 § 1 është se ekzistenca e një gjykate të ligjshme. Kjo kërkesë është një element </w:t>
      </w:r>
      <w:r w:rsidR="00B82901" w:rsidRPr="00BE1029">
        <w:rPr>
          <w:i/>
          <w:iCs/>
        </w:rPr>
        <w:t>qendror</w:t>
      </w:r>
      <w:r w:rsidR="00B82901" w:rsidRPr="00BE1029">
        <w:t xml:space="preserve"> për një gjykim të drejtë</w:t>
      </w:r>
      <w:r w:rsidR="00EF1E50">
        <w:t>,</w:t>
      </w:r>
      <w:r w:rsidR="00B82901" w:rsidRPr="00BE1029">
        <w:t xml:space="preserve"> pasi i referohet </w:t>
      </w:r>
      <w:r w:rsidR="00B82901" w:rsidRPr="00BE1029">
        <w:rPr>
          <w:i/>
          <w:iCs/>
        </w:rPr>
        <w:t>vet thelbit</w:t>
      </w:r>
      <w:r w:rsidR="00B82901" w:rsidRPr="00BE1029">
        <w:t xml:space="preserve"> të së drejtës përkatëse. Të gjitha kërkesat e </w:t>
      </w:r>
      <w:r w:rsidR="00EF1E50" w:rsidRPr="00BE1029">
        <w:t xml:space="preserve">nenit </w:t>
      </w:r>
      <w:r w:rsidR="00B82901" w:rsidRPr="00BE1029">
        <w:t xml:space="preserve">6 § 1 presupozojnë përmbushjen e kësaj kërkese qendrore, krijimin e një gjykatë me ligj. Me fjalë të tjera, kërkesat/garancitë për “pavarësi” dhe “paanshmëri” janë cilësi thelbësore dhe të pandara që kanë të bëjnë me vet ekzistencën e një “gjykate të krijuar me ligj”. Është e pamundur që të shqyrtohen cilësitë e një gjykate që nuk ekziston, ashtu siç është e pamundur që të shqyrtohen cilësitë e një personi ose ndërtese inekzistente. Për këtë arsye, çdo shpresë që një gjykatë të jetë e pavarur dhe e paanshme do të varet nga fakti nëse, fillimisht, ajo është një gjykatë e krijuar me ligj. Cilësitë e mëparshme varen nga të dytat dhe nuk mund të lihen në ajër. Fatkeqësisht, Gjykata në çështjen </w:t>
      </w:r>
      <w:r w:rsidR="00B82901" w:rsidRPr="00BE1029">
        <w:rPr>
          <w:i/>
          <w:iCs/>
          <w:shd w:val="clear" w:color="auto" w:fill="FFFFFF"/>
        </w:rPr>
        <w:t>Guðmundur Andri Ástráðsson</w:t>
      </w:r>
      <w:r w:rsidR="00B82901" w:rsidRPr="00BE1029">
        <w:t xml:space="preserve">, duke konstatuar se nuk ishte e nevojshme të shqyrtoheshin ankesat për mungesën e pavarësisë dhe të paanshmërisë, dha përshtypjen se ajo po </w:t>
      </w:r>
      <w:r w:rsidR="008B7CC1">
        <w:t>u</w:t>
      </w:r>
      <w:r w:rsidR="00B82901" w:rsidRPr="00BE1029">
        <w:t xml:space="preserve"> referohej meritave të atyre ankesave, duke sugjeruar në këtë mënyrë se ato mbeteshin të pranueshme. Megjithatë, siç shprehet edhe në këtë opinion, këto ankesa ishin bërë të papranueshme dhe duhej të rrëzoheshin si të tilla. </w:t>
      </w:r>
    </w:p>
    <w:p w14:paraId="75106AEF" w14:textId="23C46989" w:rsidR="00B82901" w:rsidRPr="00BE1029" w:rsidRDefault="00F2653B" w:rsidP="00F816F5">
      <w:pPr>
        <w:pStyle w:val="TEKSTIIII"/>
      </w:pPr>
      <w:r w:rsidRPr="00BE1029">
        <w:t xml:space="preserve">6. </w:t>
      </w:r>
      <w:r w:rsidR="00B82901" w:rsidRPr="00BE1029">
        <w:t xml:space="preserve">Unë pata mundësinë që të shpjegoja dhe të detajoja më tej qasjen që ndoqa në çështjen </w:t>
      </w:r>
      <w:r w:rsidR="00B82901" w:rsidRPr="00BE1029">
        <w:rPr>
          <w:i/>
          <w:iCs/>
          <w:shd w:val="clear" w:color="auto" w:fill="FFFFFF"/>
        </w:rPr>
        <w:t xml:space="preserve">Guðmundur Andri Ástráðsson </w:t>
      </w:r>
      <w:r w:rsidR="00B82901" w:rsidRPr="00BE1029">
        <w:t xml:space="preserve">dhe në çështjen konkrete, në opinionin tim kundërshtues në çështjen </w:t>
      </w:r>
      <w:r w:rsidR="00B82901" w:rsidRPr="00BE1029">
        <w:rPr>
          <w:i/>
          <w:iCs/>
        </w:rPr>
        <w:lastRenderedPageBreak/>
        <w:t xml:space="preserve">Angerjäv dhe Greinoman kundër Estonisë </w:t>
      </w:r>
      <w:r w:rsidR="00B82901" w:rsidRPr="00BE1029">
        <w:t xml:space="preserve">(nr. 16358/18 dhe 34964/18, 4 </w:t>
      </w:r>
      <w:r w:rsidR="00D95D70" w:rsidRPr="00BE1029">
        <w:t xml:space="preserve">tetor </w:t>
      </w:r>
      <w:r w:rsidR="00B82901" w:rsidRPr="00BE1029">
        <w:t xml:space="preserve">2022 </w:t>
      </w:r>
      <w:r w:rsidR="006312F8">
        <w:t>–</w:t>
      </w:r>
      <w:r w:rsidR="00B82901" w:rsidRPr="00BE1029">
        <w:t xml:space="preserve"> një vendim i shpallur në të njëjtën datë me vendimin konkret). Shkurtimisht, unë parashtrova në atë opinion se duhet të ketë një hierarki garancish në </w:t>
      </w:r>
      <w:r w:rsidR="00F5245B" w:rsidRPr="00BE1029">
        <w:t xml:space="preserve">nenin </w:t>
      </w:r>
      <w:r w:rsidR="00B82901" w:rsidRPr="00BE1029">
        <w:t>6 dhe se garancia për një “gjykatë të krijuar me ligj” duhet të vendoset në krye të hierarkisë</w:t>
      </w:r>
      <w:r w:rsidR="00B82901" w:rsidRPr="00BE1029">
        <w:rPr>
          <w:rStyle w:val="FootnoteReference"/>
        </w:rPr>
        <w:footnoteReference w:id="4"/>
      </w:r>
      <w:r w:rsidR="00B82901" w:rsidRPr="00BE1029">
        <w:t xml:space="preserve">. Gjithashtu, unë parashtrova se, duke qenë se garancitë e </w:t>
      </w:r>
      <w:r w:rsidR="00F816F5">
        <w:t>s</w:t>
      </w:r>
      <w:r w:rsidR="00B82901" w:rsidRPr="00BE1029">
        <w:t xml:space="preserve">ë drejtës për një gjykim të drejtë, sipas </w:t>
      </w:r>
      <w:r w:rsidR="00F5245B" w:rsidRPr="00BE1029">
        <w:t xml:space="preserve">nenit </w:t>
      </w:r>
      <w:r w:rsidR="00B82901" w:rsidRPr="00BE1029">
        <w:t>6, janë element</w:t>
      </w:r>
      <w:r w:rsidR="00F5245B">
        <w:t>e</w:t>
      </w:r>
      <w:r w:rsidR="00B82901" w:rsidRPr="00BE1029">
        <w:t xml:space="preserve"> të kësaj të drejte, parimit të efikasitetit, për të përmbushur qëllimin e tij, duhet të ndihmojnë në dhënien e këtyre garancive – në çështjen konkrete garancia për një “gjykatë të krijuar me ligj” – të peshës dhe efektit të tyre të plotë dhe pasojat e tyre përkatëse të plota sipas normës së efikasitetit</w:t>
      </w:r>
      <w:r w:rsidR="00B82901" w:rsidRPr="00BE1029">
        <w:rPr>
          <w:rStyle w:val="FootnoteReference"/>
        </w:rPr>
        <w:footnoteReference w:id="5"/>
      </w:r>
      <w:r w:rsidR="00B82901" w:rsidRPr="00BE1029">
        <w:t xml:space="preserve">. </w:t>
      </w:r>
    </w:p>
    <w:p w14:paraId="11E34372" w14:textId="232682E8" w:rsidR="00B82901" w:rsidRPr="00BE1029" w:rsidRDefault="00F2653B" w:rsidP="00F2653B">
      <w:pPr>
        <w:pStyle w:val="TEKSTIIII"/>
      </w:pPr>
      <w:r w:rsidRPr="00BE1029">
        <w:t xml:space="preserve">7. </w:t>
      </w:r>
      <w:r w:rsidR="00B82901" w:rsidRPr="00BE1029">
        <w:t xml:space="preserve">Një çështje mbetet për t’u shqyrtuar në lidhje me këtë aspekt, më konkretisht ajo e pasojave të mungesës së garancisë së </w:t>
      </w:r>
      <w:r w:rsidR="0077672F" w:rsidRPr="00BE1029">
        <w:t xml:space="preserve">nenit </w:t>
      </w:r>
      <w:r w:rsidR="00B82901" w:rsidRPr="00BE1029">
        <w:t xml:space="preserve">6 për një “gjykatë të krijuar me ligj” për pjesën tjetër të ankesave. Duhet të theksohet se pjesa tjetër e ankesave në çështjen </w:t>
      </w:r>
      <w:r w:rsidR="00B82901" w:rsidRPr="00BE1029">
        <w:rPr>
          <w:i/>
          <w:iCs/>
          <w:shd w:val="clear" w:color="auto" w:fill="FFFFFF"/>
        </w:rPr>
        <w:t>Guðmundur Andri Ástráðsson</w:t>
      </w:r>
      <w:r w:rsidR="00B82901" w:rsidRPr="00BE1029">
        <w:rPr>
          <w:shd w:val="clear" w:color="auto" w:fill="FFFFFF"/>
        </w:rPr>
        <w:t xml:space="preserve"> kishte ankesa që kishin të bënin me </w:t>
      </w:r>
      <w:r w:rsidR="0077672F" w:rsidRPr="00BE1029">
        <w:rPr>
          <w:shd w:val="clear" w:color="auto" w:fill="FFFFFF"/>
        </w:rPr>
        <w:t xml:space="preserve">nenin </w:t>
      </w:r>
      <w:r w:rsidR="00B82901" w:rsidRPr="00BE1029">
        <w:rPr>
          <w:shd w:val="clear" w:color="auto" w:fill="FFFFFF"/>
        </w:rPr>
        <w:t xml:space="preserve">6 – veçanërisht, me mungesën e garancive të pavarësisë së një gjykate dhe të paanshmërisë së gjykatës. Në çështjen konkrete, megjithatë, ankesat e tjera kishin të bënin si me ankesat sipas </w:t>
      </w:r>
      <w:r w:rsidR="0077672F" w:rsidRPr="00BE1029">
        <w:rPr>
          <w:shd w:val="clear" w:color="auto" w:fill="FFFFFF"/>
        </w:rPr>
        <w:t xml:space="preserve">nenit </w:t>
      </w:r>
      <w:r w:rsidR="00B82901" w:rsidRPr="00BE1029">
        <w:rPr>
          <w:shd w:val="clear" w:color="auto" w:fill="FFFFFF"/>
        </w:rPr>
        <w:t xml:space="preserve">6 dhe një ankesë sipas </w:t>
      </w:r>
      <w:r w:rsidR="00DC34E2" w:rsidRPr="00BE1029">
        <w:rPr>
          <w:shd w:val="clear" w:color="auto" w:fill="FFFFFF"/>
        </w:rPr>
        <w:t xml:space="preserve">nenit </w:t>
      </w:r>
      <w:r w:rsidR="00B82901" w:rsidRPr="00BE1029">
        <w:rPr>
          <w:shd w:val="clear" w:color="auto" w:fill="FFFFFF"/>
        </w:rPr>
        <w:t xml:space="preserve">8 të Konventës. Siç theksohet në paragrafin 127 të vendimit, duke u mbështetur në këtë të drejtë për respektimin e jetës private, sipas </w:t>
      </w:r>
      <w:r w:rsidR="00BD05C6" w:rsidRPr="00BE1029">
        <w:rPr>
          <w:shd w:val="clear" w:color="auto" w:fill="FFFFFF"/>
        </w:rPr>
        <w:t xml:space="preserve">nenit </w:t>
      </w:r>
      <w:r w:rsidR="00B82901" w:rsidRPr="00BE1029">
        <w:rPr>
          <w:shd w:val="clear" w:color="auto" w:fill="FFFFFF"/>
        </w:rPr>
        <w:t xml:space="preserve">8 të Konventës, kërkuesi pretendonte se vendimi i Kolegjit të Posaçëm të Apelimit për ta shkarkuar atë nga detyra kishte shkaktuar një ndërhyrje në atë të drejtë, e cila nuk ishte as në përputhje me atë ligj dhe as proporcionale me qëllimet legjitime të ndjekura. Për këtë arsye, pyetja që ngrihet është nëse qasja ime në çështjen </w:t>
      </w:r>
      <w:r w:rsidR="00B82901" w:rsidRPr="00BE1029">
        <w:rPr>
          <w:i/>
          <w:iCs/>
          <w:shd w:val="clear" w:color="auto" w:fill="FFFFFF"/>
        </w:rPr>
        <w:t>Guðmundur Andri Ástráðsson</w:t>
      </w:r>
      <w:r w:rsidR="00B82901" w:rsidRPr="00BE1029">
        <w:rPr>
          <w:shd w:val="clear" w:color="auto" w:fill="FFFFFF"/>
        </w:rPr>
        <w:t xml:space="preserve">, më konkretisht që ankesat e tjera sipas </w:t>
      </w:r>
      <w:r w:rsidR="00B71D58" w:rsidRPr="00BE1029">
        <w:rPr>
          <w:shd w:val="clear" w:color="auto" w:fill="FFFFFF"/>
        </w:rPr>
        <w:t xml:space="preserve">nenit </w:t>
      </w:r>
      <w:r w:rsidR="00B82901" w:rsidRPr="00BE1029">
        <w:rPr>
          <w:shd w:val="clear" w:color="auto" w:fill="FFFFFF"/>
        </w:rPr>
        <w:t xml:space="preserve">6 ishin të papranueshme </w:t>
      </w:r>
      <w:r w:rsidR="00B82901" w:rsidRPr="00BE1029">
        <w:rPr>
          <w:i/>
          <w:iCs/>
          <w:shd w:val="clear" w:color="auto" w:fill="FFFFFF"/>
        </w:rPr>
        <w:t>ratione materiae</w:t>
      </w:r>
      <w:r w:rsidR="00B82901" w:rsidRPr="00BE1029">
        <w:rPr>
          <w:shd w:val="clear" w:color="auto" w:fill="FFFFFF"/>
        </w:rPr>
        <w:t xml:space="preserve">, zbatohet edhe në lidhje me ankesën sipas </w:t>
      </w:r>
      <w:r w:rsidR="00B71D58" w:rsidRPr="00BE1029">
        <w:rPr>
          <w:shd w:val="clear" w:color="auto" w:fill="FFFFFF"/>
        </w:rPr>
        <w:t xml:space="preserve">nenit </w:t>
      </w:r>
      <w:r w:rsidR="00B82901" w:rsidRPr="00BE1029">
        <w:rPr>
          <w:shd w:val="clear" w:color="auto" w:fill="FFFFFF"/>
        </w:rPr>
        <w:t xml:space="preserve">8, e cila është një e drejtë reale. </w:t>
      </w:r>
    </w:p>
    <w:p w14:paraId="569F2030" w14:textId="3C443A6A" w:rsidR="00B82901" w:rsidRPr="00BE1029" w:rsidRDefault="00F2653B" w:rsidP="004D64E1">
      <w:pPr>
        <w:pStyle w:val="TEKSTIIII"/>
      </w:pPr>
      <w:r w:rsidRPr="00BE1029">
        <w:rPr>
          <w:shd w:val="clear" w:color="auto" w:fill="FFFFFF"/>
        </w:rPr>
        <w:t xml:space="preserve">8. </w:t>
      </w:r>
      <w:r w:rsidR="00B82901" w:rsidRPr="00BE1029">
        <w:rPr>
          <w:shd w:val="clear" w:color="auto" w:fill="FFFFFF"/>
        </w:rPr>
        <w:t xml:space="preserve">Duhet të bëhet e qartë se ankesa sipas </w:t>
      </w:r>
      <w:r w:rsidR="00B71D58" w:rsidRPr="00BE1029">
        <w:rPr>
          <w:shd w:val="clear" w:color="auto" w:fill="FFFFFF"/>
        </w:rPr>
        <w:t xml:space="preserve">nenit </w:t>
      </w:r>
      <w:r w:rsidR="00B82901" w:rsidRPr="00BE1029">
        <w:rPr>
          <w:shd w:val="clear" w:color="auto" w:fill="FFFFFF"/>
        </w:rPr>
        <w:t xml:space="preserve">8 nuk mund të shkëputej nga ankesa se nuk ekzistonte një gjykatë e krijuar me ligj sipas </w:t>
      </w:r>
      <w:r w:rsidR="00B71D58" w:rsidRPr="00BE1029">
        <w:rPr>
          <w:shd w:val="clear" w:color="auto" w:fill="FFFFFF"/>
        </w:rPr>
        <w:t xml:space="preserve">nenit </w:t>
      </w:r>
      <w:r w:rsidR="00B82901" w:rsidRPr="00BE1029">
        <w:rPr>
          <w:shd w:val="clear" w:color="auto" w:fill="FFFFFF"/>
        </w:rPr>
        <w:t xml:space="preserve">6. Shkelja e pretenduar e </w:t>
      </w:r>
      <w:r w:rsidR="00B71D58" w:rsidRPr="00BE1029">
        <w:rPr>
          <w:shd w:val="clear" w:color="auto" w:fill="FFFFFF"/>
        </w:rPr>
        <w:t xml:space="preserve">nenit </w:t>
      </w:r>
      <w:r w:rsidR="00B82901" w:rsidRPr="00BE1029">
        <w:rPr>
          <w:shd w:val="clear" w:color="auto" w:fill="FFFFFF"/>
        </w:rPr>
        <w:t xml:space="preserve">8 nuk ekzistonte përpara shkeljes së pretenduar të </w:t>
      </w:r>
      <w:r w:rsidR="00B71D58" w:rsidRPr="00BE1029">
        <w:rPr>
          <w:shd w:val="clear" w:color="auto" w:fill="FFFFFF"/>
        </w:rPr>
        <w:t xml:space="preserve">nenit </w:t>
      </w:r>
      <w:r w:rsidR="00B82901" w:rsidRPr="00BE1029">
        <w:rPr>
          <w:shd w:val="clear" w:color="auto" w:fill="FFFFFF"/>
        </w:rPr>
        <w:t xml:space="preserve">6 (që do të thotë, se Kolegji i Posaçëm i Apelimit nuk ishte një gjykatë e krijuar me ligj), dhe nuk ishte as e pavarur nga ajo ankesë. Përkundrazi, ankesa për shkeljen e </w:t>
      </w:r>
      <w:r w:rsidR="004D64E1">
        <w:rPr>
          <w:shd w:val="clear" w:color="auto" w:fill="FFFFFF"/>
        </w:rPr>
        <w:t>s</w:t>
      </w:r>
      <w:r w:rsidR="00B82901" w:rsidRPr="00BE1029">
        <w:rPr>
          <w:shd w:val="clear" w:color="auto" w:fill="FFFFFF"/>
        </w:rPr>
        <w:t>ë drejtës për jetë private</w:t>
      </w:r>
      <w:r w:rsidR="004D64E1">
        <w:rPr>
          <w:shd w:val="clear" w:color="auto" w:fill="FFFFFF"/>
        </w:rPr>
        <w:t>,</w:t>
      </w:r>
      <w:r w:rsidR="00B82901" w:rsidRPr="00BE1029">
        <w:rPr>
          <w:shd w:val="clear" w:color="auto" w:fill="FFFFFF"/>
        </w:rPr>
        <w:t xml:space="preserve"> sipas </w:t>
      </w:r>
      <w:r w:rsidR="004D64E1" w:rsidRPr="00BE1029">
        <w:rPr>
          <w:shd w:val="clear" w:color="auto" w:fill="FFFFFF"/>
        </w:rPr>
        <w:t xml:space="preserve">nenit </w:t>
      </w:r>
      <w:r w:rsidR="00B82901" w:rsidRPr="00BE1029">
        <w:rPr>
          <w:shd w:val="clear" w:color="auto" w:fill="FFFFFF"/>
        </w:rPr>
        <w:t xml:space="preserve">8 ishte një përfundim i drejtpërdrejtë i shkeljes </w:t>
      </w:r>
      <w:r w:rsidR="004D64E1">
        <w:rPr>
          <w:shd w:val="clear" w:color="auto" w:fill="FFFFFF"/>
        </w:rPr>
        <w:t>s</w:t>
      </w:r>
      <w:r w:rsidR="00B82901" w:rsidRPr="00BE1029">
        <w:rPr>
          <w:shd w:val="clear" w:color="auto" w:fill="FFFFFF"/>
        </w:rPr>
        <w:t xml:space="preserve">ë </w:t>
      </w:r>
      <w:r w:rsidR="004D64E1">
        <w:rPr>
          <w:shd w:val="clear" w:color="auto" w:fill="FFFFFF"/>
        </w:rPr>
        <w:t>t</w:t>
      </w:r>
      <w:r w:rsidR="00B82901" w:rsidRPr="00BE1029">
        <w:rPr>
          <w:shd w:val="clear" w:color="auto" w:fill="FFFFFF"/>
        </w:rPr>
        <w:t xml:space="preserve">ë drejtës për një gjykatë të krijuar me ligj sipas </w:t>
      </w:r>
      <w:r w:rsidR="00F629B2" w:rsidRPr="00BE1029">
        <w:rPr>
          <w:shd w:val="clear" w:color="auto" w:fill="FFFFFF"/>
        </w:rPr>
        <w:t xml:space="preserve">nenit </w:t>
      </w:r>
      <w:r w:rsidR="00B82901" w:rsidRPr="00BE1029">
        <w:rPr>
          <w:shd w:val="clear" w:color="auto" w:fill="FFFFFF"/>
        </w:rPr>
        <w:t xml:space="preserve">6. Nëse shkelja e pretenduar e </w:t>
      </w:r>
      <w:r w:rsidR="00F629B2" w:rsidRPr="00BE1029">
        <w:rPr>
          <w:shd w:val="clear" w:color="auto" w:fill="FFFFFF"/>
        </w:rPr>
        <w:t xml:space="preserve">nenit </w:t>
      </w:r>
      <w:r w:rsidR="00B82901" w:rsidRPr="00BE1029">
        <w:rPr>
          <w:shd w:val="clear" w:color="auto" w:fill="FFFFFF"/>
        </w:rPr>
        <w:t xml:space="preserve">6 do të ekzistonte paraprakisht ose do të kishte qenë e pavarur nga shkelja sipas </w:t>
      </w:r>
      <w:r w:rsidR="00F629B2" w:rsidRPr="00BE1029">
        <w:rPr>
          <w:shd w:val="clear" w:color="auto" w:fill="FFFFFF"/>
        </w:rPr>
        <w:t xml:space="preserve">nenit </w:t>
      </w:r>
      <w:r w:rsidR="00B82901" w:rsidRPr="00BE1029">
        <w:rPr>
          <w:shd w:val="clear" w:color="auto" w:fill="FFFFFF"/>
        </w:rPr>
        <w:t xml:space="preserve">6, çështja do të kishte qenë ndryshe. </w:t>
      </w:r>
    </w:p>
    <w:p w14:paraId="31A2BEFC" w14:textId="3FF250EC" w:rsidR="00B82901" w:rsidRPr="00BE1029" w:rsidRDefault="006077C3" w:rsidP="008E6C83">
      <w:pPr>
        <w:pStyle w:val="TEKSTIIII"/>
      </w:pPr>
      <w:r w:rsidRPr="00BE1029">
        <w:rPr>
          <w:shd w:val="clear" w:color="auto" w:fill="FFFFFF"/>
        </w:rPr>
        <w:t xml:space="preserve">9. </w:t>
      </w:r>
      <w:r w:rsidR="00B82901" w:rsidRPr="00BE1029">
        <w:rPr>
          <w:shd w:val="clear" w:color="auto" w:fill="FFFFFF"/>
        </w:rPr>
        <w:t xml:space="preserve">Kështu, në mendimin tim, ndikimi i mungesës së garancisë për një “gjykatë të krijuar me ligj” në ankesën bërë sipas </w:t>
      </w:r>
      <w:r w:rsidR="00F629B2" w:rsidRPr="00BE1029">
        <w:rPr>
          <w:shd w:val="clear" w:color="auto" w:fill="FFFFFF"/>
        </w:rPr>
        <w:t xml:space="preserve">nenit </w:t>
      </w:r>
      <w:r w:rsidR="00B82901" w:rsidRPr="00BE1029">
        <w:rPr>
          <w:shd w:val="clear" w:color="auto" w:fill="FFFFFF"/>
        </w:rPr>
        <w:t>8 do të ishte e njëjtë si ajo e ankesave të tjera</w:t>
      </w:r>
      <w:r w:rsidR="00F629B2">
        <w:rPr>
          <w:shd w:val="clear" w:color="auto" w:fill="FFFFFF"/>
        </w:rPr>
        <w:t>,</w:t>
      </w:r>
      <w:r w:rsidR="00B82901" w:rsidRPr="00BE1029">
        <w:rPr>
          <w:shd w:val="clear" w:color="auto" w:fill="FFFFFF"/>
        </w:rPr>
        <w:t xml:space="preserve"> sipas </w:t>
      </w:r>
      <w:r w:rsidR="00F629B2" w:rsidRPr="00BE1029">
        <w:rPr>
          <w:shd w:val="clear" w:color="auto" w:fill="FFFFFF"/>
        </w:rPr>
        <w:t xml:space="preserve">nenit </w:t>
      </w:r>
      <w:r w:rsidR="00B82901" w:rsidRPr="00BE1029">
        <w:rPr>
          <w:shd w:val="clear" w:color="auto" w:fill="FFFFFF"/>
        </w:rPr>
        <w:t xml:space="preserve">6, duke i bërë të gjitha ato ankesa të papranueshme </w:t>
      </w:r>
      <w:r w:rsidR="00B82901" w:rsidRPr="00BE1029">
        <w:rPr>
          <w:i/>
          <w:iCs/>
          <w:shd w:val="clear" w:color="auto" w:fill="FFFFFF"/>
        </w:rPr>
        <w:t>ratione materiae</w:t>
      </w:r>
      <w:r w:rsidR="00B82901" w:rsidRPr="00BE1029">
        <w:rPr>
          <w:shd w:val="clear" w:color="auto" w:fill="FFFFFF"/>
        </w:rPr>
        <w:t xml:space="preserve"> dhe duke sjellë rrëzimin e tyre</w:t>
      </w:r>
      <w:r w:rsidR="008E6C83">
        <w:rPr>
          <w:shd w:val="clear" w:color="auto" w:fill="FFFFFF"/>
        </w:rPr>
        <w:t>,</w:t>
      </w:r>
      <w:r w:rsidR="00B82901" w:rsidRPr="00BE1029">
        <w:rPr>
          <w:shd w:val="clear" w:color="auto" w:fill="FFFFFF"/>
        </w:rPr>
        <w:t xml:space="preserve"> dhe duke qenë se të gjitha ato ankesa të tjera janë automatikisht të papranueshme, si rezultat i konstatimit se nuk ekzistonte një gjykatë e krijuar me ligj, në opinionin tim nuk është korrekte, apo të paktën e saktë, të thuhet, ashtu siç shprehet vendimi, se nuk është e nevojshme që të shqyrtohen ato ankesa. Kjo papranueshmëri e dukshme dhe automatike duhej të ishte njohur menjëherë dhe të ishte deklaruar nga Gjykata si e tillë, dhe Gjykata nuk duhej të thoshte thjesht se nuk ishte e nevojshme të shqyrtoheshin ankesat e tjera. </w:t>
      </w:r>
    </w:p>
    <w:p w14:paraId="5E503BDD" w14:textId="6A7453A4" w:rsidR="00B82901" w:rsidRPr="00BE1029" w:rsidRDefault="006077C3" w:rsidP="006077C3">
      <w:pPr>
        <w:pStyle w:val="TEKSTIIII"/>
        <w:rPr>
          <w:b/>
        </w:rPr>
      </w:pPr>
      <w:r w:rsidRPr="00BE1029">
        <w:rPr>
          <w:b/>
          <w:shd w:val="clear" w:color="auto" w:fill="FFFFFF"/>
        </w:rPr>
        <w:t xml:space="preserve">III. </w:t>
      </w:r>
      <w:r w:rsidR="00B82901" w:rsidRPr="00BE1029">
        <w:rPr>
          <w:b/>
          <w:shd w:val="clear" w:color="auto" w:fill="FFFFFF"/>
        </w:rPr>
        <w:t>Konstatimi i shkeljes në vetvete nuk është shpërblim i drejtë i përshtatshëm</w:t>
      </w:r>
    </w:p>
    <w:p w14:paraId="1CA8F6B6" w14:textId="6A9B588D" w:rsidR="00B82901" w:rsidRPr="00BE1029" w:rsidRDefault="006077C3" w:rsidP="00AE4B8B">
      <w:pPr>
        <w:pStyle w:val="TEKSTIIII"/>
      </w:pPr>
      <w:r w:rsidRPr="00BE1029">
        <w:rPr>
          <w:shd w:val="clear" w:color="auto" w:fill="FFFFFF"/>
        </w:rPr>
        <w:t xml:space="preserve">10. </w:t>
      </w:r>
      <w:r w:rsidR="00B82901" w:rsidRPr="00BE1029">
        <w:rPr>
          <w:shd w:val="clear" w:color="auto" w:fill="FFFFFF"/>
        </w:rPr>
        <w:t>Me respekt, unë nuk bie dakord me paragrafin 135 të vendimit dhe pikën korres</w:t>
      </w:r>
      <w:r w:rsidR="005B7F06" w:rsidRPr="00BE1029">
        <w:rPr>
          <w:shd w:val="clear" w:color="auto" w:fill="FFFFFF"/>
        </w:rPr>
        <w:t>p</w:t>
      </w:r>
      <w:r w:rsidR="00B82901" w:rsidRPr="00BE1029">
        <w:rPr>
          <w:shd w:val="clear" w:color="auto" w:fill="FFFFFF"/>
        </w:rPr>
        <w:t>onduese 5 të parashikimeve të tij operative, më konkretisht</w:t>
      </w:r>
      <w:r w:rsidR="004D2239">
        <w:rPr>
          <w:shd w:val="clear" w:color="auto" w:fill="FFFFFF"/>
        </w:rPr>
        <w:t>,</w:t>
      </w:r>
      <w:r w:rsidR="00B82901" w:rsidRPr="00BE1029">
        <w:rPr>
          <w:shd w:val="clear" w:color="auto" w:fill="FFFFFF"/>
        </w:rPr>
        <w:t xml:space="preserve"> se konstatimi i shkeljes ndaj </w:t>
      </w:r>
      <w:r w:rsidR="004D2239" w:rsidRPr="00BE1029">
        <w:rPr>
          <w:shd w:val="clear" w:color="auto" w:fill="FFFFFF"/>
        </w:rPr>
        <w:t xml:space="preserve">nenit </w:t>
      </w:r>
      <w:r w:rsidR="00B82901" w:rsidRPr="00BE1029">
        <w:rPr>
          <w:shd w:val="clear" w:color="auto" w:fill="FFFFFF"/>
        </w:rPr>
        <w:t xml:space="preserve">6 § 1 të Konventës përbënte shpërblim të drejtë të përshtatshëm apo të mjaftueshëm për qëllimet e Konventës, veçanërisht për sa kishte të bënte me shpërblimin jopasuror. Siç kam parashtruar edhe në opinione të tjera, </w:t>
      </w:r>
      <w:r w:rsidR="004D2239" w:rsidRPr="00BE1029">
        <w:rPr>
          <w:shd w:val="clear" w:color="auto" w:fill="FFFFFF"/>
        </w:rPr>
        <w:t xml:space="preserve">neni </w:t>
      </w:r>
      <w:r w:rsidR="00B82901" w:rsidRPr="00BE1029">
        <w:rPr>
          <w:shd w:val="clear" w:color="auto" w:fill="FFFFFF"/>
        </w:rPr>
        <w:t xml:space="preserve">41 i Konventës, në formulimin e tij, nuk mund të interpretohet me kuptimin se </w:t>
      </w:r>
      <w:r w:rsidR="00B82901" w:rsidRPr="00BE1029">
        <w:rPr>
          <w:shd w:val="clear" w:color="auto" w:fill="FFFFFF"/>
        </w:rPr>
        <w:lastRenderedPageBreak/>
        <w:t>konstatimi i shkeljes së parashikimit të Konventës në vetvete mund të përbënte mjaftueshëm “shpërblim të drejtë për palën e dëmtuar”. Kjo për arsyen se i pari është një parakusht për të dytin dhe ata nuk mund të konsiderohen si nene të njëjt</w:t>
      </w:r>
      <w:r w:rsidR="00FF6FD5">
        <w:rPr>
          <w:shd w:val="clear" w:color="auto" w:fill="FFFFFF"/>
        </w:rPr>
        <w:t>a</w:t>
      </w:r>
      <w:r w:rsidR="00B82901" w:rsidRPr="00BE1029">
        <w:rPr>
          <w:shd w:val="clear" w:color="auto" w:fill="FFFFFF"/>
        </w:rPr>
        <w:t xml:space="preserve"> (shih paragrafët 5</w:t>
      </w:r>
      <w:r w:rsidR="00AE4B8B">
        <w:t>–</w:t>
      </w:r>
      <w:r w:rsidR="00B82901" w:rsidRPr="00BE1029">
        <w:rPr>
          <w:shd w:val="clear" w:color="auto" w:fill="FFFFFF"/>
        </w:rPr>
        <w:t xml:space="preserve">9 të opinioneve të mia kundërshtuese me Gjyqtarin Felici në çështjen </w:t>
      </w:r>
      <w:r w:rsidR="00B82901" w:rsidRPr="00BE1029">
        <w:rPr>
          <w:i/>
          <w:iCs/>
          <w:shd w:val="clear" w:color="auto" w:fill="FFFFFF"/>
        </w:rPr>
        <w:t xml:space="preserve">Gręzęda kundër Polonisë </w:t>
      </w:r>
      <w:r w:rsidR="00B82901" w:rsidRPr="00BE1029">
        <w:rPr>
          <w:shd w:val="clear" w:color="auto" w:fill="FFFFFF"/>
        </w:rPr>
        <w:t xml:space="preserve">[DHM], nr. 43572/18, 15 </w:t>
      </w:r>
      <w:r w:rsidR="00D34816" w:rsidRPr="00BE1029">
        <w:rPr>
          <w:shd w:val="clear" w:color="auto" w:fill="FFFFFF"/>
        </w:rPr>
        <w:t xml:space="preserve">mars </w:t>
      </w:r>
      <w:r w:rsidR="00B82901" w:rsidRPr="00BE1029">
        <w:rPr>
          <w:shd w:val="clear" w:color="auto" w:fill="FFFFFF"/>
        </w:rPr>
        <w:t xml:space="preserve">2022; paragrafi 2 i opinionit tim pjesërisht kundërshtues në çështjen </w:t>
      </w:r>
      <w:r w:rsidR="00B82901" w:rsidRPr="00BE1029">
        <w:rPr>
          <w:i/>
          <w:iCs/>
          <w:shd w:val="clear" w:color="auto" w:fill="FFFFFF"/>
        </w:rPr>
        <w:t>Assemblée chrétienne des Témoins de Jéhovah d’Anderlecht dhe të Tjerët kundër Belgjikës</w:t>
      </w:r>
      <w:r w:rsidR="00B82901" w:rsidRPr="00BE1029">
        <w:rPr>
          <w:shd w:val="clear" w:color="auto" w:fill="FFFFFF"/>
        </w:rPr>
        <w:t xml:space="preserve">, nr. 20165/20, 5 </w:t>
      </w:r>
      <w:r w:rsidR="00D34816" w:rsidRPr="00BE1029">
        <w:rPr>
          <w:shd w:val="clear" w:color="auto" w:fill="FFFFFF"/>
        </w:rPr>
        <w:t xml:space="preserve">prill </w:t>
      </w:r>
      <w:r w:rsidR="00B82901" w:rsidRPr="00BE1029">
        <w:rPr>
          <w:shd w:val="clear" w:color="auto" w:fill="FFFFFF"/>
        </w:rPr>
        <w:t xml:space="preserve">2022; dhe paragrafi 9 i opinionit tim pjesërisht kundërshtues në çështjen </w:t>
      </w:r>
      <w:r w:rsidR="00B82901" w:rsidRPr="00BE1029">
        <w:rPr>
          <w:i/>
          <w:iCs/>
          <w:shd w:val="clear" w:color="auto" w:fill="FFFFFF"/>
        </w:rPr>
        <w:t>Abdi Ibrahim kundër Norvegjisë</w:t>
      </w:r>
      <w:r w:rsidR="00B82901" w:rsidRPr="00BE1029">
        <w:rPr>
          <w:shd w:val="clear" w:color="auto" w:fill="FFFFFF"/>
        </w:rPr>
        <w:t xml:space="preserve"> [DHM], nr. 15379/16, 10 </w:t>
      </w:r>
      <w:r w:rsidR="00D34816" w:rsidRPr="00BE1029">
        <w:rPr>
          <w:shd w:val="clear" w:color="auto" w:fill="FFFFFF"/>
        </w:rPr>
        <w:t xml:space="preserve">dhjetor </w:t>
      </w:r>
      <w:r w:rsidR="00B82901" w:rsidRPr="00BE1029">
        <w:rPr>
          <w:shd w:val="clear" w:color="auto" w:fill="FFFFFF"/>
        </w:rPr>
        <w:t xml:space="preserve">2021). </w:t>
      </w:r>
    </w:p>
    <w:p w14:paraId="190D6622" w14:textId="7C182A75" w:rsidR="00B82901" w:rsidRPr="00BE1029" w:rsidRDefault="00B82901" w:rsidP="00D34816">
      <w:pPr>
        <w:pStyle w:val="ECHRPara"/>
        <w:spacing w:after="0" w:line="240" w:lineRule="auto"/>
        <w:ind w:firstLine="284"/>
        <w:rPr>
          <w:rFonts w:ascii="Garamond" w:hAnsi="Garamond"/>
          <w:shd w:val="clear" w:color="auto" w:fill="FFFFFF"/>
        </w:rPr>
      </w:pPr>
      <w:r w:rsidRPr="00BE1029">
        <w:rPr>
          <w:rFonts w:ascii="Garamond" w:hAnsi="Garamond"/>
          <w:shd w:val="clear" w:color="auto" w:fill="FFFFFF"/>
        </w:rPr>
        <w:t>Mosakordimi për ankuesin i një shume për dëmin jopasuror</w:t>
      </w:r>
      <w:r w:rsidR="00D34816">
        <w:rPr>
          <w:rFonts w:ascii="Garamond" w:hAnsi="Garamond"/>
          <w:shd w:val="clear" w:color="auto" w:fill="FFFFFF"/>
        </w:rPr>
        <w:t>,</w:t>
      </w:r>
      <w:r w:rsidRPr="00BE1029">
        <w:rPr>
          <w:rFonts w:ascii="Garamond" w:hAnsi="Garamond"/>
          <w:shd w:val="clear" w:color="auto" w:fill="FFFFFF"/>
        </w:rPr>
        <w:t xml:space="preserve"> në lidhje me shkeljen e të drejtave të tij, sipas mendimit tim, e bën mbrojtjen e të drejtave të tij zhgënjyese dhe fiktive (shih, me të njëjtin efekt, opinionet referuar më sipër). Kjo është në kundërshtim me praktikën gjyqësore</w:t>
      </w:r>
      <w:r w:rsidR="00D34816">
        <w:rPr>
          <w:rFonts w:ascii="Garamond" w:hAnsi="Garamond"/>
          <w:shd w:val="clear" w:color="auto" w:fill="FFFFFF"/>
        </w:rPr>
        <w:t>,</w:t>
      </w:r>
      <w:r w:rsidRPr="00BE1029">
        <w:rPr>
          <w:rFonts w:ascii="Garamond" w:hAnsi="Garamond"/>
          <w:shd w:val="clear" w:color="auto" w:fill="FFFFFF"/>
        </w:rPr>
        <w:t xml:space="preserve"> duke bërë që mbrojtja e të drejtave të njeriut duhej të is</w:t>
      </w:r>
      <w:r w:rsidR="00D34816">
        <w:rPr>
          <w:rFonts w:ascii="Garamond" w:hAnsi="Garamond"/>
          <w:shd w:val="clear" w:color="auto" w:fill="FFFFFF"/>
        </w:rPr>
        <w:t>hte praktike dhe efikase dhe jo</w:t>
      </w:r>
      <w:r w:rsidRPr="00BE1029">
        <w:rPr>
          <w:rFonts w:ascii="Garamond" w:hAnsi="Garamond"/>
          <w:shd w:val="clear" w:color="auto" w:fill="FFFFFF"/>
        </w:rPr>
        <w:t>teorike dhe zhgënjyese, siç edhe kërkohej nga parimi i efikasitetit</w:t>
      </w:r>
      <w:r w:rsidR="00D34816">
        <w:rPr>
          <w:rFonts w:ascii="Garamond" w:hAnsi="Garamond"/>
          <w:shd w:val="clear" w:color="auto" w:fill="FFFFFF"/>
        </w:rPr>
        <w:t>,</w:t>
      </w:r>
      <w:r w:rsidRPr="00BE1029">
        <w:rPr>
          <w:rFonts w:ascii="Garamond" w:hAnsi="Garamond"/>
          <w:shd w:val="clear" w:color="auto" w:fill="FFFFFF"/>
        </w:rPr>
        <w:t xml:space="preserve"> i cili është pjes</w:t>
      </w:r>
      <w:r w:rsidR="00D34816">
        <w:rPr>
          <w:rFonts w:ascii="Garamond" w:hAnsi="Garamond"/>
          <w:shd w:val="clear" w:color="auto" w:fill="FFFFFF"/>
        </w:rPr>
        <w:t>ë</w:t>
      </w:r>
      <w:r w:rsidRPr="00BE1029">
        <w:rPr>
          <w:rFonts w:ascii="Garamond" w:hAnsi="Garamond"/>
          <w:shd w:val="clear" w:color="auto" w:fill="FFFFFF"/>
        </w:rPr>
        <w:t xml:space="preserve"> thelbësore e Konventës (shih </w:t>
      </w:r>
      <w:r w:rsidRPr="00BE1029">
        <w:rPr>
          <w:rFonts w:ascii="Garamond" w:hAnsi="Garamond"/>
          <w:i/>
          <w:iCs/>
          <w:shd w:val="clear" w:color="auto" w:fill="FFFFFF"/>
        </w:rPr>
        <w:t xml:space="preserve">Artico kundër Italisë, </w:t>
      </w:r>
      <w:r w:rsidRPr="00BE1029">
        <w:rPr>
          <w:rFonts w:ascii="Garamond" w:hAnsi="Garamond"/>
          <w:shd w:val="clear" w:color="auto" w:fill="FFFFFF"/>
        </w:rPr>
        <w:t xml:space="preserve">13 </w:t>
      </w:r>
      <w:r w:rsidR="00866E96" w:rsidRPr="00BE1029">
        <w:rPr>
          <w:rFonts w:ascii="Garamond" w:hAnsi="Garamond"/>
          <w:shd w:val="clear" w:color="auto" w:fill="FFFFFF"/>
        </w:rPr>
        <w:t xml:space="preserve">maj </w:t>
      </w:r>
      <w:r w:rsidRPr="00BE1029">
        <w:rPr>
          <w:rFonts w:ascii="Garamond" w:hAnsi="Garamond"/>
          <w:shd w:val="clear" w:color="auto" w:fill="FFFFFF"/>
        </w:rPr>
        <w:t>1980, §§ 33 dhe 47</w:t>
      </w:r>
      <w:r w:rsidR="00F34435" w:rsidRPr="00BE1029">
        <w:rPr>
          <w:rFonts w:ascii="Garamond" w:hAnsi="Garamond"/>
          <w:shd w:val="clear" w:color="auto" w:fill="FFFFFF"/>
        </w:rPr>
        <w:t>–</w:t>
      </w:r>
      <w:r w:rsidRPr="00BE1029">
        <w:rPr>
          <w:rFonts w:ascii="Garamond" w:hAnsi="Garamond"/>
          <w:shd w:val="clear" w:color="auto" w:fill="FFFFFF"/>
        </w:rPr>
        <w:t xml:space="preserve">48, </w:t>
      </w:r>
      <w:r w:rsidR="00F34435" w:rsidRPr="00BE1029">
        <w:rPr>
          <w:rFonts w:ascii="Garamond" w:hAnsi="Garamond"/>
          <w:shd w:val="clear" w:color="auto" w:fill="FFFFFF"/>
        </w:rPr>
        <w:t xml:space="preserve">seritë </w:t>
      </w:r>
      <w:r w:rsidRPr="00BE1029">
        <w:rPr>
          <w:rFonts w:ascii="Garamond" w:hAnsi="Garamond"/>
          <w:shd w:val="clear" w:color="auto" w:fill="FFFFFF"/>
        </w:rPr>
        <w:t>A</w:t>
      </w:r>
      <w:r w:rsidR="00866E96">
        <w:rPr>
          <w:rFonts w:ascii="Garamond" w:hAnsi="Garamond"/>
          <w:shd w:val="clear" w:color="auto" w:fill="FFFFFF"/>
        </w:rPr>
        <w:t>,</w:t>
      </w:r>
      <w:r w:rsidRPr="00BE1029">
        <w:rPr>
          <w:rFonts w:ascii="Garamond" w:hAnsi="Garamond"/>
          <w:shd w:val="clear" w:color="auto" w:fill="FFFFFF"/>
        </w:rPr>
        <w:t xml:space="preserve"> nr. 37). </w:t>
      </w:r>
    </w:p>
    <w:p w14:paraId="3213DACD" w14:textId="6C6CCA88" w:rsidR="00B82901" w:rsidRPr="00BE1029" w:rsidRDefault="006077C3" w:rsidP="006077C3">
      <w:pPr>
        <w:pStyle w:val="TEKSTIIII"/>
      </w:pPr>
      <w:r w:rsidRPr="00BE1029">
        <w:rPr>
          <w:shd w:val="clear" w:color="auto" w:fill="FFFFFF"/>
        </w:rPr>
        <w:t xml:space="preserve">11. </w:t>
      </w:r>
      <w:r w:rsidR="00B82901" w:rsidRPr="00BE1029">
        <w:rPr>
          <w:shd w:val="clear" w:color="auto" w:fill="FFFFFF"/>
        </w:rPr>
        <w:t>Nëse kërkuesi nuk do të kishte kërkuar t’i akordohej shuma simbolike prej 1 euro</w:t>
      </w:r>
      <w:r w:rsidR="00763DBB">
        <w:rPr>
          <w:shd w:val="clear" w:color="auto" w:fill="FFFFFF"/>
        </w:rPr>
        <w:t>sh</w:t>
      </w:r>
      <w:r w:rsidR="00B82901" w:rsidRPr="00BE1029">
        <w:rPr>
          <w:shd w:val="clear" w:color="auto" w:fill="FFFFFF"/>
        </w:rPr>
        <w:t xml:space="preserve"> për dëmin jopasuror (shih paragrafin 132 të vendimit), dhe nëse unë nuk do të isha në minorancë, unë do t’i kisha akorduar ankuesit një shumë të rëndësishme për dëmin jopasuror. Megjithatë, duke qenë se çështja ka të bëjë me dëmin jopasuror dhe sipas rregullit </w:t>
      </w:r>
      <w:r w:rsidR="00B82901" w:rsidRPr="00BE1029">
        <w:rPr>
          <w:i/>
          <w:iCs/>
          <w:shd w:val="clear" w:color="auto" w:fill="FFFFFF"/>
        </w:rPr>
        <w:t xml:space="preserve">non ultra petita </w:t>
      </w:r>
      <w:r w:rsidR="00B82901" w:rsidRPr="00BE1029">
        <w:rPr>
          <w:shd w:val="clear" w:color="auto" w:fill="FFFFFF"/>
        </w:rPr>
        <w:t xml:space="preserve">(jo përtej kërkesës), përfundimisht, unë do t’i kisha akorduar atë çfarë ai kërkoi, dhe nuk do të kisha zbatuar as kriterin e pranueshmërisë në </w:t>
      </w:r>
      <w:r w:rsidR="009B4913" w:rsidRPr="00BE1029">
        <w:rPr>
          <w:shd w:val="clear" w:color="auto" w:fill="FFFFFF"/>
        </w:rPr>
        <w:t xml:space="preserve">nenin </w:t>
      </w:r>
      <w:r w:rsidR="00B82901" w:rsidRPr="00BE1029">
        <w:rPr>
          <w:shd w:val="clear" w:color="auto" w:fill="FFFFFF"/>
        </w:rPr>
        <w:t xml:space="preserve">35 § 3 (b) (asnjë disavantazh i rëndësishëm), dhe as rregullin </w:t>
      </w:r>
      <w:r w:rsidR="00B82901" w:rsidRPr="00BE1029">
        <w:rPr>
          <w:i/>
          <w:iCs/>
          <w:shd w:val="clear" w:color="auto" w:fill="FFFFFF"/>
        </w:rPr>
        <w:t>de minimis non curat praetor</w:t>
      </w:r>
      <w:r w:rsidR="00B82901" w:rsidRPr="00BE1029">
        <w:rPr>
          <w:shd w:val="clear" w:color="auto" w:fill="FFFFFF"/>
        </w:rPr>
        <w:t xml:space="preserve"> (gjykata nuk merret me vogëlsira). </w:t>
      </w:r>
    </w:p>
    <w:p w14:paraId="11FB78E9" w14:textId="1096E941" w:rsidR="00B82901" w:rsidRPr="00BE1029" w:rsidRDefault="006077C3" w:rsidP="00865CB4">
      <w:pPr>
        <w:pStyle w:val="TEKSTIIII"/>
        <w:rPr>
          <w:b/>
          <w:bCs/>
        </w:rPr>
      </w:pPr>
      <w:r w:rsidRPr="00BE1029">
        <w:rPr>
          <w:b/>
          <w:bCs/>
          <w:shd w:val="clear" w:color="auto" w:fill="FFFFFF"/>
        </w:rPr>
        <w:t xml:space="preserve">IV. </w:t>
      </w:r>
      <w:r w:rsidR="00B82901" w:rsidRPr="00BE1029">
        <w:rPr>
          <w:b/>
          <w:bCs/>
          <w:shd w:val="clear" w:color="auto" w:fill="FFFFFF"/>
        </w:rPr>
        <w:t>Përfundim</w:t>
      </w:r>
    </w:p>
    <w:p w14:paraId="59D86092" w14:textId="17B33BAC" w:rsidR="00B82901" w:rsidRPr="00BE1029" w:rsidRDefault="006077C3" w:rsidP="006077C3">
      <w:pPr>
        <w:pStyle w:val="TEKSTIIII"/>
      </w:pPr>
      <w:r w:rsidRPr="00BE1029">
        <w:rPr>
          <w:shd w:val="clear" w:color="auto" w:fill="FFFFFF"/>
        </w:rPr>
        <w:t xml:space="preserve">12. </w:t>
      </w:r>
      <w:r w:rsidR="00B82901" w:rsidRPr="00BE1029">
        <w:rPr>
          <w:shd w:val="clear" w:color="auto" w:fill="FFFFFF"/>
        </w:rPr>
        <w:t xml:space="preserve">Sa më sipër, unë arrij në përfundimin, në lidhje me pikat mbi të cilat </w:t>
      </w:r>
      <w:r w:rsidR="0019494C" w:rsidRPr="00BE1029">
        <w:rPr>
          <w:shd w:val="clear" w:color="auto" w:fill="FFFFFF"/>
        </w:rPr>
        <w:t xml:space="preserve">unë ndryshoja nga shumica, se: </w:t>
      </w:r>
      <w:r w:rsidR="00B82901" w:rsidRPr="00BE1029">
        <w:rPr>
          <w:shd w:val="clear" w:color="auto" w:fill="FFFFFF"/>
        </w:rPr>
        <w:t xml:space="preserve">a) duke konstatuar se nuk ekziston një “gjykatë e krijuar me ligj”, ankesat e tjera ishin automatikisht të papranueshme </w:t>
      </w:r>
      <w:r w:rsidR="00B82901" w:rsidRPr="00BE1029">
        <w:rPr>
          <w:i/>
          <w:iCs/>
          <w:shd w:val="clear" w:color="auto" w:fill="FFFFFF"/>
        </w:rPr>
        <w:t>ratione materiae</w:t>
      </w:r>
      <w:r w:rsidR="00097554">
        <w:rPr>
          <w:shd w:val="clear" w:color="auto" w:fill="FFFFFF"/>
        </w:rPr>
        <w:t xml:space="preserve"> </w:t>
      </w:r>
      <w:r w:rsidR="00B82901" w:rsidRPr="00BE1029">
        <w:rPr>
          <w:shd w:val="clear" w:color="auto" w:fill="FFFFFF"/>
        </w:rPr>
        <w:t>dhe</w:t>
      </w:r>
      <w:r w:rsidR="00097554">
        <w:rPr>
          <w:shd w:val="clear" w:color="auto" w:fill="FFFFFF"/>
        </w:rPr>
        <w:t>,</w:t>
      </w:r>
      <w:r w:rsidR="00B82901" w:rsidRPr="00BE1029">
        <w:rPr>
          <w:shd w:val="clear" w:color="auto" w:fill="FFFFFF"/>
        </w:rPr>
        <w:t xml:space="preserve"> për këtë arsye, Gjykata duhej të kishte nxjerrë një përfundim për këtë aspekt dhe të m</w:t>
      </w:r>
      <w:r w:rsidR="0019494C" w:rsidRPr="00BE1029">
        <w:rPr>
          <w:shd w:val="clear" w:color="auto" w:fill="FFFFFF"/>
        </w:rPr>
        <w:t xml:space="preserve">os i linte të pavendosura; dhe </w:t>
      </w:r>
      <w:r w:rsidR="00B82901" w:rsidRPr="00BE1029">
        <w:rPr>
          <w:shd w:val="clear" w:color="auto" w:fill="FFFFFF"/>
        </w:rPr>
        <w:t xml:space="preserve">b) se ankuesit duhej t’i ishte akorduar shuma simbolike e kërkuar prej tij për dëmin jopasuror. </w:t>
      </w:r>
    </w:p>
    <w:p w14:paraId="47CE9535" w14:textId="77777777" w:rsidR="00B82901" w:rsidRPr="00BE1029" w:rsidRDefault="00B82901" w:rsidP="00A43DB1">
      <w:pPr>
        <w:spacing w:after="0" w:line="240" w:lineRule="auto"/>
        <w:ind w:firstLine="284"/>
        <w:jc w:val="both"/>
        <w:rPr>
          <w:rFonts w:ascii="Garamond" w:hAnsi="Garamond"/>
          <w:i/>
          <w:sz w:val="24"/>
          <w:szCs w:val="24"/>
          <w:lang w:val="sq-AL"/>
        </w:rPr>
      </w:pPr>
    </w:p>
    <w:sectPr w:rsidR="00B82901" w:rsidRPr="00BE1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A1953" w14:textId="77777777" w:rsidR="00F17296" w:rsidRDefault="00F17296" w:rsidP="00B82901">
      <w:pPr>
        <w:spacing w:after="0" w:line="240" w:lineRule="auto"/>
      </w:pPr>
      <w:r>
        <w:separator/>
      </w:r>
    </w:p>
  </w:endnote>
  <w:endnote w:type="continuationSeparator" w:id="0">
    <w:p w14:paraId="654B37B4" w14:textId="77777777" w:rsidR="00F17296" w:rsidRDefault="00F17296" w:rsidP="00B82901">
      <w:pPr>
        <w:spacing w:after="0" w:line="240" w:lineRule="auto"/>
      </w:pPr>
      <w:r>
        <w:continuationSeparator/>
      </w:r>
    </w:p>
  </w:endnote>
  <w:endnote w:type="continuationNotice" w:id="1">
    <w:p w14:paraId="7FD26230" w14:textId="77777777" w:rsidR="00404951" w:rsidRDefault="00404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043EA" w14:textId="77777777" w:rsidR="00F17296" w:rsidRDefault="00F17296" w:rsidP="00B82901">
      <w:pPr>
        <w:spacing w:after="0" w:line="240" w:lineRule="auto"/>
      </w:pPr>
      <w:r>
        <w:separator/>
      </w:r>
    </w:p>
  </w:footnote>
  <w:footnote w:type="continuationSeparator" w:id="0">
    <w:p w14:paraId="5E74E539" w14:textId="77777777" w:rsidR="00F17296" w:rsidRDefault="00F17296" w:rsidP="00B82901">
      <w:pPr>
        <w:spacing w:after="0" w:line="240" w:lineRule="auto"/>
      </w:pPr>
      <w:r>
        <w:continuationSeparator/>
      </w:r>
    </w:p>
  </w:footnote>
  <w:footnote w:type="continuationNotice" w:id="1">
    <w:p w14:paraId="75213948" w14:textId="77777777" w:rsidR="00404951" w:rsidRDefault="00404951">
      <w:pPr>
        <w:spacing w:after="0" w:line="240" w:lineRule="auto"/>
      </w:pPr>
    </w:p>
  </w:footnote>
  <w:footnote w:id="2">
    <w:p w14:paraId="5CFDB40D"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Shih paragrafin 4 të opinionit.</w:t>
      </w:r>
    </w:p>
  </w:footnote>
  <w:footnote w:id="3">
    <w:p w14:paraId="0BF14FF6"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Po aty, në paragrafin 5.</w:t>
      </w:r>
    </w:p>
  </w:footnote>
  <w:footnote w:id="4">
    <w:p w14:paraId="43953FCC"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Shih paragrafin 28 të atij opinioni.</w:t>
      </w:r>
    </w:p>
  </w:footnote>
  <w:footnote w:id="5">
    <w:p w14:paraId="4FBD4E20" w14:textId="37DD981F" w:rsidR="00F17296" w:rsidRPr="00A27023" w:rsidRDefault="00F17296" w:rsidP="006C2150">
      <w:pPr>
        <w:pStyle w:val="FootnoteText"/>
        <w:spacing w:after="0" w:line="240" w:lineRule="auto"/>
        <w:rPr>
          <w:lang w:val="sq-AL"/>
        </w:rPr>
      </w:pPr>
      <w:r w:rsidRPr="00A27023">
        <w:rPr>
          <w:rStyle w:val="FootnoteReference"/>
          <w:rFonts w:ascii="Garamond" w:hAnsi="Garamond"/>
          <w:lang w:val="sq-AL"/>
        </w:rPr>
        <w:footnoteRef/>
      </w:r>
      <w:r w:rsidRPr="00A27023">
        <w:rPr>
          <w:rFonts w:ascii="Garamond" w:hAnsi="Garamond"/>
          <w:lang w:val="sq-AL"/>
        </w:rPr>
        <w:t xml:space="preserve"> Shih paragrafët 30</w:t>
      </w:r>
      <w:r w:rsidR="00865CB4" w:rsidRPr="00A27023">
        <w:rPr>
          <w:rFonts w:ascii="Garamond" w:hAnsi="Garamond"/>
          <w:lang w:val="sq-AL"/>
        </w:rPr>
        <w:t>–</w:t>
      </w:r>
      <w:r w:rsidRPr="004D2239">
        <w:rPr>
          <w:rFonts w:ascii="Garamond" w:hAnsi="Garamond"/>
          <w:lang w:val="sq-AL"/>
        </w:rPr>
        <w:t>31 të at</w:t>
      </w:r>
      <w:r w:rsidR="006C2150" w:rsidRPr="004D2239">
        <w:rPr>
          <w:rFonts w:ascii="Garamond" w:hAnsi="Garamond"/>
          <w:lang w:val="sq-AL"/>
        </w:rPr>
        <w:t>i</w:t>
      </w:r>
      <w:r w:rsidRPr="004D2239">
        <w:rPr>
          <w:rFonts w:ascii="Garamond" w:hAnsi="Garamond"/>
          <w:lang w:val="sq-AL"/>
        </w:rPr>
        <w:t>j</w:t>
      </w:r>
      <w:r w:rsidRPr="00A27023">
        <w:rPr>
          <w:rFonts w:ascii="Garamond" w:hAnsi="Garamond"/>
          <w:lang w:val="sq-AL"/>
        </w:rPr>
        <w:t xml:space="preserve"> opinioni.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09A40C7"/>
    <w:multiLevelType w:val="hybridMultilevel"/>
    <w:tmpl w:val="7A5A5F14"/>
    <w:lvl w:ilvl="0" w:tplc="C01EEB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3870908"/>
    <w:multiLevelType w:val="hybridMultilevel"/>
    <w:tmpl w:val="88827310"/>
    <w:lvl w:ilvl="0" w:tplc="D37CF81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2">
    <w:nsid w:val="0F850221"/>
    <w:multiLevelType w:val="hybridMultilevel"/>
    <w:tmpl w:val="0B44724E"/>
    <w:lvl w:ilvl="0" w:tplc="B286466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B24845"/>
    <w:multiLevelType w:val="hybridMultilevel"/>
    <w:tmpl w:val="587280C6"/>
    <w:lvl w:ilvl="0" w:tplc="E96423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A195902"/>
    <w:multiLevelType w:val="hybridMultilevel"/>
    <w:tmpl w:val="8BE40B0A"/>
    <w:lvl w:ilvl="0" w:tplc="68A62C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955D9D"/>
    <w:multiLevelType w:val="hybridMultilevel"/>
    <w:tmpl w:val="C0AAE72E"/>
    <w:lvl w:ilvl="0" w:tplc="2BBAEB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2FE1E15"/>
    <w:multiLevelType w:val="hybridMultilevel"/>
    <w:tmpl w:val="98429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3F7D8E"/>
    <w:multiLevelType w:val="hybridMultilevel"/>
    <w:tmpl w:val="4BA0900E"/>
    <w:lvl w:ilvl="0" w:tplc="B1521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ADD27BB"/>
    <w:multiLevelType w:val="hybridMultilevel"/>
    <w:tmpl w:val="65EA28D0"/>
    <w:lvl w:ilvl="0" w:tplc="3A9E33C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24FE2"/>
    <w:multiLevelType w:val="hybridMultilevel"/>
    <w:tmpl w:val="E6CCB21C"/>
    <w:lvl w:ilvl="0" w:tplc="0AACA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240AC"/>
    <w:multiLevelType w:val="hybridMultilevel"/>
    <w:tmpl w:val="42B43DEC"/>
    <w:lvl w:ilvl="0" w:tplc="79A884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AB74F3E"/>
    <w:multiLevelType w:val="hybridMultilevel"/>
    <w:tmpl w:val="1474FD60"/>
    <w:lvl w:ilvl="0" w:tplc="E53822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B2A6AF4"/>
    <w:multiLevelType w:val="hybridMultilevel"/>
    <w:tmpl w:val="7E6C5EAA"/>
    <w:lvl w:ilvl="0" w:tplc="6A0EF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B036C97"/>
    <w:multiLevelType w:val="hybridMultilevel"/>
    <w:tmpl w:val="BD1C7856"/>
    <w:lvl w:ilvl="0" w:tplc="B0065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A2C6B"/>
    <w:multiLevelType w:val="hybridMultilevel"/>
    <w:tmpl w:val="06AC6F8E"/>
    <w:lvl w:ilvl="0" w:tplc="DE60A93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670798"/>
    <w:multiLevelType w:val="hybridMultilevel"/>
    <w:tmpl w:val="1AC2F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286BA0"/>
    <w:multiLevelType w:val="hybridMultilevel"/>
    <w:tmpl w:val="2960BD84"/>
    <w:lvl w:ilvl="0" w:tplc="247A9DA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1E7611"/>
    <w:multiLevelType w:val="hybridMultilevel"/>
    <w:tmpl w:val="DF76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084516"/>
    <w:multiLevelType w:val="hybridMultilevel"/>
    <w:tmpl w:val="A5A8B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F845D2"/>
    <w:multiLevelType w:val="hybridMultilevel"/>
    <w:tmpl w:val="7E24956C"/>
    <w:lvl w:ilvl="0" w:tplc="8EDCF59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0695848"/>
    <w:multiLevelType w:val="hybridMultilevel"/>
    <w:tmpl w:val="86E8E66C"/>
    <w:lvl w:ilvl="0" w:tplc="D2E2CD0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0DF210B"/>
    <w:multiLevelType w:val="hybridMultilevel"/>
    <w:tmpl w:val="4692C032"/>
    <w:lvl w:ilvl="0" w:tplc="320A03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5B4685A"/>
    <w:multiLevelType w:val="hybridMultilevel"/>
    <w:tmpl w:val="292022B0"/>
    <w:lvl w:ilvl="0" w:tplc="7BDC46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nsid w:val="6C070C63"/>
    <w:multiLevelType w:val="hybridMultilevel"/>
    <w:tmpl w:val="504261B8"/>
    <w:lvl w:ilvl="0" w:tplc="D76A9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C01A4"/>
    <w:multiLevelType w:val="hybridMultilevel"/>
    <w:tmpl w:val="1A20C510"/>
    <w:lvl w:ilvl="0" w:tplc="722C957E">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0082F24"/>
    <w:multiLevelType w:val="hybridMultilevel"/>
    <w:tmpl w:val="9B64B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EC35C5"/>
    <w:multiLevelType w:val="hybridMultilevel"/>
    <w:tmpl w:val="8F8A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105AB6"/>
    <w:multiLevelType w:val="hybridMultilevel"/>
    <w:tmpl w:val="AE7EB8C8"/>
    <w:lvl w:ilvl="0" w:tplc="87EA86D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00E86"/>
    <w:multiLevelType w:val="hybridMultilevel"/>
    <w:tmpl w:val="B210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6"/>
  </w:num>
  <w:num w:numId="4">
    <w:abstractNumId w:val="25"/>
  </w:num>
  <w:num w:numId="5">
    <w:abstractNumId w:val="16"/>
  </w:num>
  <w:num w:numId="6">
    <w:abstractNumId w:val="15"/>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3"/>
  </w:num>
  <w:num w:numId="16">
    <w:abstractNumId w:val="20"/>
  </w:num>
  <w:num w:numId="17">
    <w:abstractNumId w:val="21"/>
  </w:num>
  <w:num w:numId="18">
    <w:abstractNumId w:val="41"/>
  </w:num>
  <w:num w:numId="19">
    <w:abstractNumId w:val="10"/>
  </w:num>
  <w:num w:numId="20">
    <w:abstractNumId w:val="30"/>
  </w:num>
  <w:num w:numId="21">
    <w:abstractNumId w:val="29"/>
  </w:num>
  <w:num w:numId="22">
    <w:abstractNumId w:val="14"/>
  </w:num>
  <w:num w:numId="23">
    <w:abstractNumId w:val="12"/>
  </w:num>
  <w:num w:numId="24">
    <w:abstractNumId w:val="19"/>
  </w:num>
  <w:num w:numId="25">
    <w:abstractNumId w:val="17"/>
  </w:num>
  <w:num w:numId="26">
    <w:abstractNumId w:val="22"/>
  </w:num>
  <w:num w:numId="27">
    <w:abstractNumId w:val="39"/>
  </w:num>
  <w:num w:numId="28">
    <w:abstractNumId w:val="35"/>
  </w:num>
  <w:num w:numId="29">
    <w:abstractNumId w:val="28"/>
  </w:num>
  <w:num w:numId="30">
    <w:abstractNumId w:val="31"/>
  </w:num>
  <w:num w:numId="31">
    <w:abstractNumId w:val="26"/>
  </w:num>
  <w:num w:numId="32">
    <w:abstractNumId w:val="27"/>
  </w:num>
  <w:num w:numId="33">
    <w:abstractNumId w:val="40"/>
  </w:num>
  <w:num w:numId="34">
    <w:abstractNumId w:val="24"/>
  </w:num>
  <w:num w:numId="35">
    <w:abstractNumId w:val="13"/>
  </w:num>
  <w:num w:numId="36">
    <w:abstractNumId w:val="38"/>
  </w:num>
  <w:num w:numId="37">
    <w:abstractNumId w:val="9"/>
  </w:num>
  <w:num w:numId="38">
    <w:abstractNumId w:val="32"/>
  </w:num>
  <w:num w:numId="39">
    <w:abstractNumId w:val="34"/>
  </w:num>
  <w:num w:numId="40">
    <w:abstractNumId w:val="18"/>
  </w:num>
  <w:num w:numId="41">
    <w:abstractNumId w:val="33"/>
  </w:num>
  <w:num w:numId="42">
    <w:abstractNumId w:val="23"/>
  </w:num>
  <w:num w:numId="43">
    <w:abstractNumId w:val="3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13A5F"/>
    <w:rsid w:val="00020E03"/>
    <w:rsid w:val="000351F7"/>
    <w:rsid w:val="000404A9"/>
    <w:rsid w:val="000457A2"/>
    <w:rsid w:val="000463B7"/>
    <w:rsid w:val="00047A08"/>
    <w:rsid w:val="00066190"/>
    <w:rsid w:val="000717B0"/>
    <w:rsid w:val="0009171B"/>
    <w:rsid w:val="00093983"/>
    <w:rsid w:val="00097554"/>
    <w:rsid w:val="000A63AD"/>
    <w:rsid w:val="000A79D0"/>
    <w:rsid w:val="000B4F59"/>
    <w:rsid w:val="000C4087"/>
    <w:rsid w:val="00114426"/>
    <w:rsid w:val="00120F70"/>
    <w:rsid w:val="00151F95"/>
    <w:rsid w:val="001653F3"/>
    <w:rsid w:val="00174D6E"/>
    <w:rsid w:val="00187F22"/>
    <w:rsid w:val="0019494C"/>
    <w:rsid w:val="001B2BA0"/>
    <w:rsid w:val="001B5AC8"/>
    <w:rsid w:val="001C65C2"/>
    <w:rsid w:val="001D14B1"/>
    <w:rsid w:val="002177C1"/>
    <w:rsid w:val="002501EA"/>
    <w:rsid w:val="002830B3"/>
    <w:rsid w:val="002A430C"/>
    <w:rsid w:val="002B182B"/>
    <w:rsid w:val="002B3A41"/>
    <w:rsid w:val="002E6A19"/>
    <w:rsid w:val="002F7185"/>
    <w:rsid w:val="00307DA6"/>
    <w:rsid w:val="00316502"/>
    <w:rsid w:val="003364E2"/>
    <w:rsid w:val="003410C3"/>
    <w:rsid w:val="00360A95"/>
    <w:rsid w:val="00377D94"/>
    <w:rsid w:val="0038204E"/>
    <w:rsid w:val="00384962"/>
    <w:rsid w:val="0039122E"/>
    <w:rsid w:val="00395588"/>
    <w:rsid w:val="003B0AF9"/>
    <w:rsid w:val="003B1BCF"/>
    <w:rsid w:val="003B5EEE"/>
    <w:rsid w:val="003C3C99"/>
    <w:rsid w:val="003F28C4"/>
    <w:rsid w:val="00404488"/>
    <w:rsid w:val="00404951"/>
    <w:rsid w:val="00420FA8"/>
    <w:rsid w:val="004257FB"/>
    <w:rsid w:val="004437E5"/>
    <w:rsid w:val="0044730F"/>
    <w:rsid w:val="00453AE5"/>
    <w:rsid w:val="004548C5"/>
    <w:rsid w:val="004620B8"/>
    <w:rsid w:val="00463A08"/>
    <w:rsid w:val="00483C4A"/>
    <w:rsid w:val="0049470D"/>
    <w:rsid w:val="004B29AC"/>
    <w:rsid w:val="004C25A2"/>
    <w:rsid w:val="004C35B2"/>
    <w:rsid w:val="004D2239"/>
    <w:rsid w:val="004D64E1"/>
    <w:rsid w:val="004F0590"/>
    <w:rsid w:val="0052448D"/>
    <w:rsid w:val="00552315"/>
    <w:rsid w:val="005709E2"/>
    <w:rsid w:val="005719B1"/>
    <w:rsid w:val="00571B80"/>
    <w:rsid w:val="00575308"/>
    <w:rsid w:val="0058661B"/>
    <w:rsid w:val="0058695F"/>
    <w:rsid w:val="005B7F06"/>
    <w:rsid w:val="005C3B50"/>
    <w:rsid w:val="005E4C26"/>
    <w:rsid w:val="005F1EE6"/>
    <w:rsid w:val="005F4B22"/>
    <w:rsid w:val="005F5040"/>
    <w:rsid w:val="005F7E50"/>
    <w:rsid w:val="006077C3"/>
    <w:rsid w:val="006167CC"/>
    <w:rsid w:val="00624A83"/>
    <w:rsid w:val="006312F8"/>
    <w:rsid w:val="00633FF2"/>
    <w:rsid w:val="0066543F"/>
    <w:rsid w:val="00671A09"/>
    <w:rsid w:val="00673C95"/>
    <w:rsid w:val="00686949"/>
    <w:rsid w:val="006B3435"/>
    <w:rsid w:val="006C2150"/>
    <w:rsid w:val="006D24DC"/>
    <w:rsid w:val="006F2283"/>
    <w:rsid w:val="00726412"/>
    <w:rsid w:val="00750A17"/>
    <w:rsid w:val="0075617E"/>
    <w:rsid w:val="00763DBB"/>
    <w:rsid w:val="00763F11"/>
    <w:rsid w:val="00772337"/>
    <w:rsid w:val="0077672F"/>
    <w:rsid w:val="00785CDE"/>
    <w:rsid w:val="007C0063"/>
    <w:rsid w:val="007C2F60"/>
    <w:rsid w:val="007D0E54"/>
    <w:rsid w:val="007E137F"/>
    <w:rsid w:val="007E3B9F"/>
    <w:rsid w:val="007F21F6"/>
    <w:rsid w:val="008239AC"/>
    <w:rsid w:val="00843B55"/>
    <w:rsid w:val="00861D65"/>
    <w:rsid w:val="00865CB4"/>
    <w:rsid w:val="00866E96"/>
    <w:rsid w:val="00876D5E"/>
    <w:rsid w:val="008810F4"/>
    <w:rsid w:val="00894EC0"/>
    <w:rsid w:val="008A53CF"/>
    <w:rsid w:val="008A55FD"/>
    <w:rsid w:val="008B6639"/>
    <w:rsid w:val="008B7CC1"/>
    <w:rsid w:val="008C38CD"/>
    <w:rsid w:val="008D0645"/>
    <w:rsid w:val="008E1193"/>
    <w:rsid w:val="008E6C83"/>
    <w:rsid w:val="0090244F"/>
    <w:rsid w:val="00905323"/>
    <w:rsid w:val="00914EA4"/>
    <w:rsid w:val="00926AB1"/>
    <w:rsid w:val="00932E06"/>
    <w:rsid w:val="00934B6C"/>
    <w:rsid w:val="0094596F"/>
    <w:rsid w:val="00946DAA"/>
    <w:rsid w:val="00970AEF"/>
    <w:rsid w:val="00995C38"/>
    <w:rsid w:val="009A013C"/>
    <w:rsid w:val="009A7658"/>
    <w:rsid w:val="009B4913"/>
    <w:rsid w:val="009D24C8"/>
    <w:rsid w:val="009D7573"/>
    <w:rsid w:val="009F5986"/>
    <w:rsid w:val="00A20C98"/>
    <w:rsid w:val="00A27023"/>
    <w:rsid w:val="00A43DB1"/>
    <w:rsid w:val="00A50580"/>
    <w:rsid w:val="00A60C26"/>
    <w:rsid w:val="00A61C54"/>
    <w:rsid w:val="00A71B24"/>
    <w:rsid w:val="00A91558"/>
    <w:rsid w:val="00AB7291"/>
    <w:rsid w:val="00AD4D73"/>
    <w:rsid w:val="00AD71F9"/>
    <w:rsid w:val="00AE4B8B"/>
    <w:rsid w:val="00B0279A"/>
    <w:rsid w:val="00B21FF6"/>
    <w:rsid w:val="00B37E46"/>
    <w:rsid w:val="00B521DF"/>
    <w:rsid w:val="00B57054"/>
    <w:rsid w:val="00B656DF"/>
    <w:rsid w:val="00B71CFC"/>
    <w:rsid w:val="00B71D58"/>
    <w:rsid w:val="00B74C8A"/>
    <w:rsid w:val="00B82901"/>
    <w:rsid w:val="00B8372D"/>
    <w:rsid w:val="00B96B01"/>
    <w:rsid w:val="00BA4063"/>
    <w:rsid w:val="00BB4ECC"/>
    <w:rsid w:val="00BB6ABE"/>
    <w:rsid w:val="00BB794A"/>
    <w:rsid w:val="00BD05C6"/>
    <w:rsid w:val="00BD7DCB"/>
    <w:rsid w:val="00BE1029"/>
    <w:rsid w:val="00BE51D8"/>
    <w:rsid w:val="00BE6A2D"/>
    <w:rsid w:val="00BF3BED"/>
    <w:rsid w:val="00C0643D"/>
    <w:rsid w:val="00C11451"/>
    <w:rsid w:val="00C21182"/>
    <w:rsid w:val="00C61273"/>
    <w:rsid w:val="00C93221"/>
    <w:rsid w:val="00CB4F4F"/>
    <w:rsid w:val="00CB70B3"/>
    <w:rsid w:val="00CC0179"/>
    <w:rsid w:val="00CD7639"/>
    <w:rsid w:val="00CF30BE"/>
    <w:rsid w:val="00D06860"/>
    <w:rsid w:val="00D24149"/>
    <w:rsid w:val="00D34816"/>
    <w:rsid w:val="00D47B2B"/>
    <w:rsid w:val="00D552A2"/>
    <w:rsid w:val="00D8097B"/>
    <w:rsid w:val="00D842C8"/>
    <w:rsid w:val="00D86230"/>
    <w:rsid w:val="00D95D70"/>
    <w:rsid w:val="00DA53AB"/>
    <w:rsid w:val="00DB2B7A"/>
    <w:rsid w:val="00DC34E2"/>
    <w:rsid w:val="00DD4088"/>
    <w:rsid w:val="00DF7282"/>
    <w:rsid w:val="00E20086"/>
    <w:rsid w:val="00E50179"/>
    <w:rsid w:val="00E568AE"/>
    <w:rsid w:val="00E82A05"/>
    <w:rsid w:val="00E94D53"/>
    <w:rsid w:val="00EA5809"/>
    <w:rsid w:val="00EB4CAC"/>
    <w:rsid w:val="00ED307F"/>
    <w:rsid w:val="00EE4BC2"/>
    <w:rsid w:val="00EF1E50"/>
    <w:rsid w:val="00EF3722"/>
    <w:rsid w:val="00EF42C3"/>
    <w:rsid w:val="00F0099A"/>
    <w:rsid w:val="00F12D47"/>
    <w:rsid w:val="00F17296"/>
    <w:rsid w:val="00F264DE"/>
    <w:rsid w:val="00F2653B"/>
    <w:rsid w:val="00F34435"/>
    <w:rsid w:val="00F34DF4"/>
    <w:rsid w:val="00F42506"/>
    <w:rsid w:val="00F45B78"/>
    <w:rsid w:val="00F5245B"/>
    <w:rsid w:val="00F629B2"/>
    <w:rsid w:val="00F6765D"/>
    <w:rsid w:val="00F816F5"/>
    <w:rsid w:val="00F83E31"/>
    <w:rsid w:val="00FA6FF8"/>
    <w:rsid w:val="00FB4F29"/>
    <w:rsid w:val="00FB6A55"/>
    <w:rsid w:val="00FC7CCE"/>
    <w:rsid w:val="00FD6043"/>
    <w:rsid w:val="00FE09B1"/>
    <w:rsid w:val="00FF0A70"/>
    <w:rsid w:val="00FF24E2"/>
    <w:rsid w:val="00FF6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B82901"/>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B82901"/>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B82901"/>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B82901"/>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B82901"/>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B82901"/>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B82901"/>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B82901"/>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B82901"/>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uiPriority w:val="11"/>
    <w:qFormat/>
    <w:rsid w:val="00A43DB1"/>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link w:val="ECHRParaChar"/>
    <w:uiPriority w:val="12"/>
    <w:qFormat/>
    <w:rsid w:val="00A43DB1"/>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character" w:customStyle="1" w:styleId="Heading1Char">
    <w:name w:val="Heading 1 Char"/>
    <w:basedOn w:val="DefaultParagraphFont"/>
    <w:link w:val="Heading1"/>
    <w:uiPriority w:val="9"/>
    <w:rsid w:val="00B8290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B8290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B8290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B8290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B8290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B82901"/>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B82901"/>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B8290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B82901"/>
    <w:rPr>
      <w:rFonts w:ascii="Calibri Light" w:eastAsia="Times New Roman" w:hAnsi="Calibri Light" w:cs="Times New Roman"/>
    </w:rPr>
  </w:style>
  <w:style w:type="paragraph" w:styleId="Header">
    <w:name w:val="header"/>
    <w:basedOn w:val="Normal"/>
    <w:link w:val="Head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B82901"/>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B82901"/>
    <w:rPr>
      <w:rFonts w:ascii="Calibri" w:eastAsia="Times New Roman" w:hAnsi="Calibri" w:cs="Times New Roman"/>
      <w:sz w:val="20"/>
      <w:szCs w:val="20"/>
      <w:lang w:val="en-GB" w:eastAsia="en-GB"/>
    </w:rPr>
  </w:style>
  <w:style w:type="character" w:styleId="Hyperlink">
    <w:name w:val="Hyperlink"/>
    <w:uiPriority w:val="99"/>
    <w:unhideWhenUsed/>
    <w:rsid w:val="00B82901"/>
    <w:rPr>
      <w:color w:val="0000FF"/>
      <w:u w:val="single"/>
    </w:rPr>
  </w:style>
  <w:style w:type="paragraph" w:styleId="ListParagraph">
    <w:name w:val="List Paragraph"/>
    <w:basedOn w:val="Normal"/>
    <w:uiPriority w:val="34"/>
    <w:qFormat/>
    <w:rsid w:val="00B82901"/>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8290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82901"/>
    <w:rPr>
      <w:rFonts w:ascii="Tahoma" w:eastAsia="Times New Roman" w:hAnsi="Tahoma" w:cs="Times New Roman"/>
      <w:sz w:val="16"/>
      <w:szCs w:val="16"/>
      <w:lang w:val="x-none" w:eastAsia="x-none"/>
    </w:rPr>
  </w:style>
  <w:style w:type="paragraph" w:styleId="NoSpacing">
    <w:name w:val="No Spacing"/>
    <w:link w:val="NoSpacingChar"/>
    <w:uiPriority w:val="1"/>
    <w:qFormat/>
    <w:rsid w:val="00B82901"/>
    <w:pPr>
      <w:spacing w:after="0" w:line="240" w:lineRule="auto"/>
    </w:pPr>
    <w:rPr>
      <w:rFonts w:ascii="Calibri" w:eastAsia="Times New Roman" w:hAnsi="Calibri" w:cs="Times New Roman"/>
    </w:rPr>
  </w:style>
  <w:style w:type="paragraph" w:customStyle="1" w:styleId="Default">
    <w:name w:val="Default"/>
    <w:rsid w:val="00B829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82901"/>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B82901"/>
    <w:rPr>
      <w:rFonts w:ascii="Calibri" w:eastAsia="Times New Roman" w:hAnsi="Calibri" w:cs="Times New Roman"/>
      <w:sz w:val="20"/>
      <w:szCs w:val="20"/>
    </w:rPr>
  </w:style>
  <w:style w:type="character" w:styleId="FootnoteReference">
    <w:name w:val="footnote reference"/>
    <w:uiPriority w:val="99"/>
    <w:semiHidden/>
    <w:unhideWhenUsed/>
    <w:rsid w:val="00B82901"/>
    <w:rPr>
      <w:vertAlign w:val="superscript"/>
    </w:rPr>
  </w:style>
  <w:style w:type="table" w:styleId="TableGrid">
    <w:name w:val="Table Grid"/>
    <w:basedOn w:val="TableNormal"/>
    <w:uiPriority w:val="59"/>
    <w:rsid w:val="00B82901"/>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B82901"/>
    <w:rPr>
      <w:i/>
      <w:iCs/>
      <w:smallCaps/>
      <w:spacing w:val="5"/>
    </w:rPr>
  </w:style>
  <w:style w:type="paragraph" w:customStyle="1" w:styleId="ECHRHeader">
    <w:name w:val="ECHR_Header"/>
    <w:aliases w:val="Ju_Header"/>
    <w:basedOn w:val="Header"/>
    <w:uiPriority w:val="4"/>
    <w:qFormat/>
    <w:rsid w:val="00B8290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B82901"/>
  </w:style>
  <w:style w:type="character" w:styleId="Strong">
    <w:name w:val="Strong"/>
    <w:uiPriority w:val="99"/>
    <w:qFormat/>
    <w:rsid w:val="00B82901"/>
    <w:rPr>
      <w:b/>
      <w:bCs/>
    </w:rPr>
  </w:style>
  <w:style w:type="character" w:customStyle="1" w:styleId="NoSpacingChar">
    <w:name w:val="No Spacing Char"/>
    <w:link w:val="NoSpacing"/>
    <w:uiPriority w:val="1"/>
    <w:rsid w:val="00B82901"/>
    <w:rPr>
      <w:rFonts w:ascii="Calibri" w:eastAsia="Times New Roman" w:hAnsi="Calibri" w:cs="Times New Roman"/>
    </w:rPr>
  </w:style>
  <w:style w:type="paragraph" w:customStyle="1" w:styleId="ECHRParaQuote">
    <w:name w:val="ECHR_Para_Quote"/>
    <w:aliases w:val="Ju_Quot"/>
    <w:basedOn w:val="Normal"/>
    <w:uiPriority w:val="14"/>
    <w:qFormat/>
    <w:rsid w:val="00B82901"/>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B82901"/>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B82901"/>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B82901"/>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B82901"/>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B82901"/>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B82901"/>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B8290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B82901"/>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B82901"/>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B82901"/>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B82901"/>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B82901"/>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B82901"/>
    <w:rPr>
      <w:vanish w:val="0"/>
      <w:color w:val="auto"/>
      <w:sz w:val="14"/>
      <w:bdr w:val="none" w:sz="0" w:space="0" w:color="auto"/>
      <w:shd w:val="clear" w:color="auto" w:fill="BEE5FF"/>
    </w:rPr>
  </w:style>
  <w:style w:type="paragraph" w:customStyle="1" w:styleId="JuLista">
    <w:name w:val="Ju_List_a"/>
    <w:basedOn w:val="JuList"/>
    <w:uiPriority w:val="28"/>
    <w:qFormat/>
    <w:rsid w:val="00B82901"/>
    <w:pPr>
      <w:ind w:left="346" w:firstLine="0"/>
    </w:pPr>
  </w:style>
  <w:style w:type="paragraph" w:customStyle="1" w:styleId="JuListi">
    <w:name w:val="Ju_List_i"/>
    <w:basedOn w:val="Normal"/>
    <w:next w:val="JuLista"/>
    <w:uiPriority w:val="28"/>
    <w:qFormat/>
    <w:rsid w:val="00B82901"/>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B82901"/>
    <w:rPr>
      <w:caps w:val="0"/>
      <w:smallCaps/>
    </w:rPr>
  </w:style>
  <w:style w:type="paragraph" w:customStyle="1" w:styleId="JuParaSub">
    <w:name w:val="Ju_Para_Sub"/>
    <w:basedOn w:val="ECHRPara"/>
    <w:uiPriority w:val="13"/>
    <w:qFormat/>
    <w:rsid w:val="00B82901"/>
    <w:pPr>
      <w:autoSpaceDE/>
      <w:autoSpaceDN/>
      <w:adjustRightInd/>
      <w:spacing w:after="0" w:line="240" w:lineRule="auto"/>
      <w:ind w:left="284" w:firstLine="284"/>
    </w:pPr>
    <w:rPr>
      <w:rFonts w:eastAsia="MS Mincho"/>
      <w:color w:val="auto"/>
      <w:szCs w:val="20"/>
      <w:lang w:val="en-GB" w:eastAsia="x-none"/>
    </w:rPr>
  </w:style>
  <w:style w:type="paragraph" w:customStyle="1" w:styleId="ECHRHeading1">
    <w:name w:val="ECHR_Heading_1"/>
    <w:aliases w:val="Ju_H_I_Roman"/>
    <w:basedOn w:val="Heading1"/>
    <w:next w:val="ECHRPara"/>
    <w:uiPriority w:val="19"/>
    <w:qFormat/>
    <w:rsid w:val="00B82901"/>
  </w:style>
  <w:style w:type="paragraph" w:customStyle="1" w:styleId="ECHRHeading2">
    <w:name w:val="ECHR_Heading_2"/>
    <w:aliases w:val="Ju_H_A"/>
    <w:basedOn w:val="Heading2"/>
    <w:next w:val="ECHRPara"/>
    <w:uiPriority w:val="20"/>
    <w:qFormat/>
    <w:rsid w:val="00B82901"/>
  </w:style>
  <w:style w:type="paragraph" w:customStyle="1" w:styleId="ECHRHeading3">
    <w:name w:val="ECHR_Heading_3"/>
    <w:aliases w:val="Ju_H_1."/>
    <w:basedOn w:val="Heading3"/>
    <w:next w:val="ECHRPara"/>
    <w:uiPriority w:val="21"/>
    <w:qFormat/>
    <w:rsid w:val="00B82901"/>
  </w:style>
  <w:style w:type="paragraph" w:customStyle="1" w:styleId="ECHRHeading4">
    <w:name w:val="ECHR_Heading_4"/>
    <w:aliases w:val="Ju_H_a"/>
    <w:basedOn w:val="Heading4"/>
    <w:next w:val="ECHRPara"/>
    <w:uiPriority w:val="22"/>
    <w:qFormat/>
    <w:rsid w:val="00B82901"/>
  </w:style>
  <w:style w:type="paragraph" w:customStyle="1" w:styleId="ECHRHeading5">
    <w:name w:val="ECHR_Heading_5"/>
    <w:aliases w:val="Ju_H_i"/>
    <w:basedOn w:val="Heading5"/>
    <w:next w:val="ECHRPara"/>
    <w:uiPriority w:val="23"/>
    <w:qFormat/>
    <w:rsid w:val="00B82901"/>
  </w:style>
  <w:style w:type="paragraph" w:customStyle="1" w:styleId="ECHRHeading6">
    <w:name w:val="ECHR_Heading_6"/>
    <w:aliases w:val="Ju_H_alpha"/>
    <w:basedOn w:val="Heading6"/>
    <w:next w:val="ECHRPara"/>
    <w:uiPriority w:val="24"/>
    <w:qFormat/>
    <w:rsid w:val="00B82901"/>
  </w:style>
  <w:style w:type="paragraph" w:customStyle="1" w:styleId="ECHRHeading7">
    <w:name w:val="ECHR_Heading_7"/>
    <w:aliases w:val="Ju_H_–"/>
    <w:basedOn w:val="Heading7"/>
    <w:next w:val="ECHRPara"/>
    <w:uiPriority w:val="25"/>
    <w:qFormat/>
    <w:rsid w:val="00B82901"/>
  </w:style>
  <w:style w:type="paragraph" w:customStyle="1" w:styleId="JuParaLast">
    <w:name w:val="Ju_Para_Last"/>
    <w:basedOn w:val="Normal"/>
    <w:next w:val="ECHRPara"/>
    <w:uiPriority w:val="30"/>
    <w:qFormat/>
    <w:rsid w:val="00B82901"/>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JuList">
    <w:name w:val="Ju_List"/>
    <w:basedOn w:val="Normal"/>
    <w:uiPriority w:val="28"/>
    <w:qFormat/>
    <w:rsid w:val="00B82901"/>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B82901"/>
    <w:pPr>
      <w:ind w:left="567"/>
    </w:pPr>
  </w:style>
  <w:style w:type="paragraph" w:customStyle="1" w:styleId="JuTitle">
    <w:name w:val="Ju_Title"/>
    <w:basedOn w:val="Normal"/>
    <w:next w:val="ECHRPara"/>
    <w:uiPriority w:val="3"/>
    <w:semiHidden/>
    <w:qFormat/>
    <w:rsid w:val="00B82901"/>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B82901"/>
    <w:rPr>
      <w:i/>
      <w:iCs/>
    </w:rPr>
  </w:style>
  <w:style w:type="paragraph" w:customStyle="1" w:styleId="OpiH1">
    <w:name w:val="Opi_H_1"/>
    <w:basedOn w:val="ECHRHeading2"/>
    <w:uiPriority w:val="42"/>
    <w:qFormat/>
    <w:rsid w:val="00B8290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B82901"/>
    <w:pPr>
      <w:spacing w:after="0" w:line="240" w:lineRule="auto"/>
    </w:pPr>
    <w:rPr>
      <w:rFonts w:ascii="Times New Roman" w:eastAsia="Times New Roman" w:hAnsi="Times New Roman" w:cs="Times New Roman"/>
      <w:sz w:val="20"/>
      <w:szCs w:val="20"/>
      <w:lang w:val="en-GB"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B82901"/>
    <w:pPr>
      <w:spacing w:after="0" w:line="240" w:lineRule="auto"/>
    </w:pPr>
    <w:rPr>
      <w:rFonts w:ascii="Verdana" w:eastAsia="Times New Roman" w:hAnsi="Verdana" w:cs="Times New Roman"/>
      <w:sz w:val="20"/>
      <w:szCs w:val="20"/>
      <w:lang w:val="en-GB" w:eastAsia="sq-AL"/>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B8290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B8290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B8290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B82901"/>
    <w:rPr>
      <w:b/>
      <w:bCs/>
      <w:i/>
      <w:iCs/>
      <w:spacing w:val="10"/>
      <w:bdr w:val="none" w:sz="0" w:space="0" w:color="auto"/>
      <w:shd w:val="clear" w:color="auto" w:fill="auto"/>
    </w:rPr>
  </w:style>
  <w:style w:type="character" w:styleId="IntenseEmphasis">
    <w:name w:val="Intense Emphasis"/>
    <w:uiPriority w:val="99"/>
    <w:qFormat/>
    <w:rsid w:val="00B82901"/>
    <w:rPr>
      <w:b/>
      <w:bCs/>
    </w:rPr>
  </w:style>
  <w:style w:type="paragraph" w:styleId="IntenseQuote">
    <w:name w:val="Intense Quote"/>
    <w:basedOn w:val="Normal"/>
    <w:next w:val="Normal"/>
    <w:link w:val="IntenseQuoteChar"/>
    <w:uiPriority w:val="99"/>
    <w:qFormat/>
    <w:rsid w:val="00B82901"/>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B82901"/>
    <w:rPr>
      <w:rFonts w:ascii="Times New Roman" w:eastAsia="MS Mincho" w:hAnsi="Times New Roman" w:cs="Times New Roman"/>
      <w:b/>
      <w:bCs/>
      <w:i/>
      <w:iCs/>
      <w:sz w:val="20"/>
      <w:szCs w:val="20"/>
      <w:lang w:val="x-none" w:eastAsia="x-none" w:bidi="en-US"/>
    </w:rPr>
  </w:style>
  <w:style w:type="character" w:styleId="IntenseReference">
    <w:name w:val="Intense Reference"/>
    <w:uiPriority w:val="99"/>
    <w:qFormat/>
    <w:rsid w:val="00B82901"/>
    <w:rPr>
      <w:smallCaps/>
      <w:spacing w:val="5"/>
      <w:u w:val="single"/>
    </w:rPr>
  </w:style>
  <w:style w:type="table" w:customStyle="1" w:styleId="LtrTableAddress">
    <w:name w:val="Ltr_Table_Addres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5103" w:type="dxa"/>
    </w:tblPr>
  </w:style>
  <w:style w:type="paragraph" w:styleId="Quote">
    <w:name w:val="Quote"/>
    <w:basedOn w:val="Normal"/>
    <w:next w:val="Normal"/>
    <w:link w:val="QuoteChar"/>
    <w:uiPriority w:val="99"/>
    <w:qFormat/>
    <w:rsid w:val="00B82901"/>
    <w:pPr>
      <w:spacing w:before="200" w:after="0" w:line="240" w:lineRule="auto"/>
      <w:ind w:left="360" w:right="360"/>
      <w:jc w:val="both"/>
    </w:pPr>
    <w:rPr>
      <w:rFonts w:ascii="Times New Roman" w:eastAsia="MS Mincho"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B82901"/>
    <w:rPr>
      <w:rFonts w:ascii="Times New Roman" w:eastAsia="MS Mincho" w:hAnsi="Times New Roman" w:cs="Times New Roman"/>
      <w:i/>
      <w:iCs/>
      <w:sz w:val="20"/>
      <w:szCs w:val="20"/>
      <w:lang w:val="x-none" w:eastAsia="x-none" w:bidi="en-US"/>
    </w:rPr>
  </w:style>
  <w:style w:type="character" w:styleId="SubtleReference">
    <w:name w:val="Subtle Reference"/>
    <w:uiPriority w:val="99"/>
    <w:qFormat/>
    <w:rsid w:val="00B82901"/>
    <w:rPr>
      <w:smallCaps/>
    </w:rPr>
  </w:style>
  <w:style w:type="paragraph" w:styleId="TOC1">
    <w:name w:val="toc 1"/>
    <w:basedOn w:val="Normal"/>
    <w:next w:val="Normal"/>
    <w:autoRedefine/>
    <w:uiPriority w:val="99"/>
    <w:semiHidden/>
    <w:rsid w:val="00B82901"/>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B82901"/>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B82901"/>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B82901"/>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B82901"/>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B82901"/>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B82901"/>
    <w:pPr>
      <w:spacing w:after="0" w:line="240" w:lineRule="auto"/>
    </w:pPr>
    <w:rPr>
      <w:rFonts w:ascii="Times New Roman" w:eastAsia="Times New Roman" w:hAnsi="Times New Roman" w:cs="Times New Roman"/>
      <w:color w:val="000000"/>
      <w:sz w:val="18"/>
      <w:szCs w:val="20"/>
      <w:lang w:val="sq-AL" w:eastAsia="sq-AL"/>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B82901"/>
    <w:pPr>
      <w:spacing w:after="0" w:line="240" w:lineRule="auto"/>
    </w:pPr>
    <w:rPr>
      <w:rFonts w:ascii="Times New Roman" w:eastAsia="Times New Roman" w:hAnsi="Times New Roman" w:cs="Times New Roman"/>
      <w:color w:val="000000"/>
      <w:sz w:val="20"/>
      <w:szCs w:val="20"/>
      <w:lang w:val="sq-AL" w:eastAsia="sq-AL"/>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B82901"/>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B82901"/>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B82901"/>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B82901"/>
    <w:pPr>
      <w:numPr>
        <w:numId w:val="4"/>
      </w:numPr>
    </w:pPr>
  </w:style>
  <w:style w:type="numbering" w:styleId="1ai">
    <w:name w:val="Outline List 1"/>
    <w:basedOn w:val="NoList"/>
    <w:uiPriority w:val="99"/>
    <w:semiHidden/>
    <w:unhideWhenUsed/>
    <w:rsid w:val="00B82901"/>
    <w:pPr>
      <w:numPr>
        <w:numId w:val="5"/>
      </w:numPr>
    </w:pPr>
  </w:style>
  <w:style w:type="table" w:customStyle="1" w:styleId="ECHRTableSimpleBox">
    <w:name w:val="ECHR_Table_Simple_Box"/>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B82901"/>
    <w:pPr>
      <w:numPr>
        <w:numId w:val="6"/>
      </w:numPr>
    </w:pPr>
  </w:style>
  <w:style w:type="table" w:customStyle="1" w:styleId="ECHRTableForInternalUse">
    <w:name w:val="ECHR_Table_For_Internal_Use"/>
    <w:basedOn w:val="TableNormal"/>
    <w:uiPriority w:val="99"/>
    <w:rsid w:val="00B82901"/>
    <w:pPr>
      <w:spacing w:after="0" w:line="240" w:lineRule="auto"/>
    </w:pPr>
    <w:rPr>
      <w:rFonts w:ascii="Times New Roman" w:eastAsia="Times New Roman" w:hAnsi="Times New Roman" w:cs="Times New Roman"/>
      <w:color w:val="636363"/>
      <w:sz w:val="18"/>
      <w:szCs w:val="20"/>
      <w:lang w:val="sq-AL" w:eastAsia="sq-AL"/>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B8290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B82901"/>
    <w:pPr>
      <w:spacing w:after="120" w:line="240" w:lineRule="auto"/>
      <w:jc w:val="both"/>
    </w:pPr>
    <w:rPr>
      <w:rFonts w:ascii="Times New Roman" w:eastAsia="MS Mincho"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B82901"/>
    <w:rPr>
      <w:rFonts w:ascii="Times New Roman" w:eastAsia="MS Mincho" w:hAnsi="Times New Roman" w:cs="Times New Roman"/>
      <w:sz w:val="24"/>
      <w:szCs w:val="20"/>
      <w:lang w:val="x-none" w:eastAsia="x-none"/>
    </w:rPr>
  </w:style>
  <w:style w:type="table" w:customStyle="1" w:styleId="ECHRTableOddBanded">
    <w:name w:val="ECHR_Table_Odd_Band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B82901"/>
    <w:pPr>
      <w:spacing w:after="120" w:line="480" w:lineRule="auto"/>
      <w:jc w:val="both"/>
    </w:pPr>
    <w:rPr>
      <w:rFonts w:ascii="Times New Roman" w:eastAsia="MS Mincho"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B82901"/>
    <w:rPr>
      <w:rFonts w:ascii="Times New Roman" w:eastAsia="MS Mincho" w:hAnsi="Times New Roman" w:cs="Times New Roman"/>
      <w:sz w:val="24"/>
      <w:szCs w:val="20"/>
      <w:lang w:val="x-none" w:eastAsia="x-none"/>
    </w:rPr>
  </w:style>
  <w:style w:type="table" w:customStyle="1" w:styleId="ECHRHeaderTableReduced">
    <w:name w:val="ECHR_Header_Table_Reduc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B82901"/>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B82901"/>
    <w:rPr>
      <w:sz w:val="18"/>
    </w:rPr>
  </w:style>
  <w:style w:type="paragraph" w:styleId="ListBullet">
    <w:name w:val="List Bullet"/>
    <w:basedOn w:val="Normal"/>
    <w:uiPriority w:val="99"/>
    <w:semiHidden/>
    <w:rsid w:val="00B82901"/>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B82901"/>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B82901"/>
    <w:pPr>
      <w:spacing w:after="120" w:line="240" w:lineRule="auto"/>
      <w:jc w:val="both"/>
    </w:pPr>
    <w:rPr>
      <w:rFonts w:ascii="Times New Roman" w:eastAsia="MS Mincho"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B82901"/>
    <w:rPr>
      <w:rFonts w:ascii="Times New Roman" w:eastAsia="MS Mincho"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B82901"/>
    <w:pPr>
      <w:spacing w:after="0"/>
      <w:ind w:firstLine="360"/>
    </w:pPr>
  </w:style>
  <w:style w:type="character" w:customStyle="1" w:styleId="BodyTextFirstIndentChar">
    <w:name w:val="Body Text First Indent Char"/>
    <w:basedOn w:val="BodyTextChar"/>
    <w:link w:val="BodyTextFirstIndent"/>
    <w:uiPriority w:val="99"/>
    <w:semiHidden/>
    <w:rsid w:val="00B82901"/>
    <w:rPr>
      <w:rFonts w:ascii="Times New Roman" w:eastAsia="MS Mincho" w:hAnsi="Times New Roman" w:cs="Times New Roman"/>
      <w:sz w:val="24"/>
      <w:szCs w:val="20"/>
      <w:lang w:val="x-none" w:eastAsia="x-none"/>
    </w:rPr>
  </w:style>
  <w:style w:type="paragraph" w:styleId="BodyTextIndent">
    <w:name w:val="Body Text Indent"/>
    <w:basedOn w:val="Normal"/>
    <w:link w:val="BodyTextIndentChar"/>
    <w:uiPriority w:val="99"/>
    <w:semiHidden/>
    <w:rsid w:val="00B82901"/>
    <w:pPr>
      <w:spacing w:after="120" w:line="240" w:lineRule="auto"/>
      <w:ind w:left="283"/>
      <w:jc w:val="both"/>
    </w:pPr>
    <w:rPr>
      <w:rFonts w:ascii="Times New Roman" w:eastAsia="MS Mincho"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B82901"/>
    <w:rPr>
      <w:rFonts w:ascii="Times New Roman" w:eastAsia="MS Mincho"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B829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2901"/>
    <w:rPr>
      <w:rFonts w:ascii="Times New Roman" w:eastAsia="MS Mincho" w:hAnsi="Times New Roman" w:cs="Times New Roman"/>
      <w:sz w:val="24"/>
      <w:szCs w:val="20"/>
      <w:lang w:val="x-none" w:eastAsia="x-none"/>
    </w:rPr>
  </w:style>
  <w:style w:type="paragraph" w:styleId="BodyTextIndent2">
    <w:name w:val="Body Text Indent 2"/>
    <w:basedOn w:val="Normal"/>
    <w:link w:val="BodyTextIndent2Char"/>
    <w:uiPriority w:val="99"/>
    <w:semiHidden/>
    <w:rsid w:val="00B82901"/>
    <w:pPr>
      <w:spacing w:after="120" w:line="480" w:lineRule="auto"/>
      <w:ind w:left="283"/>
      <w:jc w:val="both"/>
    </w:pPr>
    <w:rPr>
      <w:rFonts w:ascii="Times New Roman" w:eastAsia="MS Mincho"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B82901"/>
    <w:rPr>
      <w:rFonts w:ascii="Times New Roman" w:eastAsia="MS Mincho" w:hAnsi="Times New Roman" w:cs="Times New Roman"/>
      <w:sz w:val="24"/>
      <w:szCs w:val="20"/>
      <w:lang w:val="x-none" w:eastAsia="x-none"/>
    </w:rPr>
  </w:style>
  <w:style w:type="paragraph" w:styleId="BodyTextIndent3">
    <w:name w:val="Body Text Indent 3"/>
    <w:basedOn w:val="Normal"/>
    <w:link w:val="BodyTextIndent3Char"/>
    <w:uiPriority w:val="99"/>
    <w:semiHidden/>
    <w:rsid w:val="00B82901"/>
    <w:pPr>
      <w:spacing w:after="120" w:line="240" w:lineRule="auto"/>
      <w:ind w:left="283"/>
      <w:jc w:val="both"/>
    </w:pPr>
    <w:rPr>
      <w:rFonts w:ascii="Times New Roman" w:eastAsia="MS Mincho"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B82901"/>
    <w:rPr>
      <w:rFonts w:ascii="Times New Roman" w:eastAsia="MS Mincho" w:hAnsi="Times New Roman" w:cs="Times New Roman"/>
      <w:sz w:val="16"/>
      <w:szCs w:val="16"/>
      <w:lang w:val="x-none" w:eastAsia="x-none"/>
    </w:rPr>
  </w:style>
  <w:style w:type="paragraph" w:styleId="Caption">
    <w:name w:val="caption"/>
    <w:basedOn w:val="Normal"/>
    <w:next w:val="Normal"/>
    <w:uiPriority w:val="99"/>
    <w:semiHidden/>
    <w:qFormat/>
    <w:rsid w:val="00B82901"/>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B82901"/>
    <w:rPr>
      <w:rFonts w:ascii="Times New Roman" w:eastAsia="MS Mincho" w:hAnsi="Times New Roman" w:cs="Times New Roman"/>
      <w:sz w:val="24"/>
      <w:szCs w:val="20"/>
      <w:lang w:val="x-none" w:eastAsia="x-none"/>
    </w:rPr>
  </w:style>
  <w:style w:type="table" w:styleId="ColorfulGrid">
    <w:name w:val="Colorful Grid"/>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B82901"/>
    <w:rPr>
      <w:sz w:val="16"/>
      <w:szCs w:val="16"/>
    </w:rPr>
  </w:style>
  <w:style w:type="paragraph" w:styleId="CommentText">
    <w:name w:val="annotation text"/>
    <w:basedOn w:val="Normal"/>
    <w:link w:val="CommentTextChar"/>
    <w:uiPriority w:val="99"/>
    <w:semiHidden/>
    <w:rsid w:val="00B82901"/>
    <w:pPr>
      <w:spacing w:after="0" w:line="240" w:lineRule="auto"/>
      <w:jc w:val="both"/>
    </w:pPr>
    <w:rPr>
      <w:rFonts w:ascii="Times New Roman" w:eastAsia="MS Mincho"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82901"/>
    <w:rPr>
      <w:rFonts w:ascii="Times New Roman"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B82901"/>
    <w:rPr>
      <w:b/>
      <w:bCs/>
    </w:rPr>
  </w:style>
  <w:style w:type="character" w:customStyle="1" w:styleId="CommentSubjectChar">
    <w:name w:val="Comment Subject Char"/>
    <w:basedOn w:val="CommentTextChar"/>
    <w:link w:val="CommentSubject"/>
    <w:uiPriority w:val="99"/>
    <w:semiHidden/>
    <w:rsid w:val="00B82901"/>
    <w:rPr>
      <w:rFonts w:ascii="Times New Roman" w:eastAsia="MS Mincho" w:hAnsi="Times New Roman" w:cs="Times New Roman"/>
      <w:b/>
      <w:bCs/>
      <w:sz w:val="20"/>
      <w:szCs w:val="20"/>
      <w:lang w:val="x-none" w:eastAsia="x-none"/>
    </w:rPr>
  </w:style>
  <w:style w:type="table" w:styleId="DarkList">
    <w:name w:val="Dark List"/>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DateChar">
    <w:name w:val="Date Char"/>
    <w:basedOn w:val="DefaultParagraphFont"/>
    <w:link w:val="Date"/>
    <w:uiPriority w:val="99"/>
    <w:semiHidden/>
    <w:rsid w:val="00B82901"/>
    <w:rPr>
      <w:rFonts w:ascii="Times New Roman" w:eastAsia="MS Mincho" w:hAnsi="Times New Roman" w:cs="Times New Roman"/>
      <w:sz w:val="24"/>
      <w:szCs w:val="20"/>
      <w:lang w:val="x-none" w:eastAsia="x-none"/>
    </w:rPr>
  </w:style>
  <w:style w:type="paragraph" w:styleId="DocumentMap">
    <w:name w:val="Document Map"/>
    <w:basedOn w:val="Normal"/>
    <w:link w:val="DocumentMapChar"/>
    <w:uiPriority w:val="99"/>
    <w:semiHidden/>
    <w:rsid w:val="00B82901"/>
    <w:pPr>
      <w:spacing w:after="0" w:line="240" w:lineRule="auto"/>
      <w:jc w:val="both"/>
    </w:pPr>
    <w:rPr>
      <w:rFonts w:ascii="Tahoma" w:eastAsia="MS Mincho"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82901"/>
    <w:rPr>
      <w:rFonts w:ascii="Tahoma" w:eastAsia="MS Mincho" w:hAnsi="Tahoma" w:cs="Times New Roman"/>
      <w:sz w:val="16"/>
      <w:szCs w:val="16"/>
      <w:lang w:val="x-none" w:eastAsia="x-none"/>
    </w:rPr>
  </w:style>
  <w:style w:type="paragraph" w:styleId="E-mailSignature">
    <w:name w:val="E-mail Signature"/>
    <w:basedOn w:val="Normal"/>
    <w:link w:val="E-mailSignatur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B82901"/>
    <w:rPr>
      <w:rFonts w:ascii="Times New Roman" w:eastAsia="MS Mincho" w:hAnsi="Times New Roman" w:cs="Times New Roman"/>
      <w:sz w:val="24"/>
      <w:szCs w:val="20"/>
      <w:lang w:val="x-none" w:eastAsia="x-none"/>
    </w:rPr>
  </w:style>
  <w:style w:type="character" w:styleId="EndnoteReference">
    <w:name w:val="endnote reference"/>
    <w:uiPriority w:val="99"/>
    <w:semiHidden/>
    <w:rsid w:val="00B82901"/>
    <w:rPr>
      <w:vertAlign w:val="superscript"/>
    </w:rPr>
  </w:style>
  <w:style w:type="paragraph" w:styleId="EndnoteText">
    <w:name w:val="endnote text"/>
    <w:basedOn w:val="Normal"/>
    <w:link w:val="EndnoteTextChar"/>
    <w:uiPriority w:val="99"/>
    <w:semiHidden/>
    <w:rsid w:val="00B82901"/>
    <w:pPr>
      <w:spacing w:after="0" w:line="240" w:lineRule="auto"/>
      <w:jc w:val="both"/>
    </w:pPr>
    <w:rPr>
      <w:rFonts w:ascii="Times New Roman" w:eastAsia="MS Mincho"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B82901"/>
    <w:rPr>
      <w:rFonts w:ascii="Times New Roman" w:eastAsia="MS Mincho" w:hAnsi="Times New Roman" w:cs="Times New Roman"/>
      <w:sz w:val="20"/>
      <w:szCs w:val="20"/>
      <w:lang w:val="en-GB" w:eastAsia="x-none"/>
    </w:rPr>
  </w:style>
  <w:style w:type="paragraph" w:styleId="EnvelopeAddress">
    <w:name w:val="envelope address"/>
    <w:basedOn w:val="Normal"/>
    <w:uiPriority w:val="99"/>
    <w:semiHidden/>
    <w:rsid w:val="00B82901"/>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B82901"/>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B82901"/>
    <w:rPr>
      <w:color w:val="7030A0"/>
      <w:u w:val="single"/>
    </w:rPr>
  </w:style>
  <w:style w:type="character" w:styleId="HTMLAcronym">
    <w:name w:val="HTML Acronym"/>
    <w:basedOn w:val="DefaultParagraphFont"/>
    <w:uiPriority w:val="99"/>
    <w:semiHidden/>
    <w:rsid w:val="00B82901"/>
  </w:style>
  <w:style w:type="paragraph" w:styleId="HTMLAddress">
    <w:name w:val="HTML Address"/>
    <w:basedOn w:val="Normal"/>
    <w:link w:val="HTMLAddressChar"/>
    <w:uiPriority w:val="99"/>
    <w:semiHidden/>
    <w:rsid w:val="00B82901"/>
    <w:pPr>
      <w:spacing w:after="0" w:line="240" w:lineRule="auto"/>
      <w:jc w:val="both"/>
    </w:pPr>
    <w:rPr>
      <w:rFonts w:ascii="Times New Roman" w:eastAsia="MS Mincho"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B82901"/>
    <w:rPr>
      <w:rFonts w:ascii="Times New Roman" w:eastAsia="MS Mincho" w:hAnsi="Times New Roman" w:cs="Times New Roman"/>
      <w:i/>
      <w:iCs/>
      <w:sz w:val="24"/>
      <w:szCs w:val="20"/>
      <w:lang w:val="x-none" w:eastAsia="x-none"/>
    </w:rPr>
  </w:style>
  <w:style w:type="character" w:styleId="HTMLCite">
    <w:name w:val="HTML Cite"/>
    <w:uiPriority w:val="99"/>
    <w:semiHidden/>
    <w:rsid w:val="00B82901"/>
    <w:rPr>
      <w:i/>
      <w:iCs/>
    </w:rPr>
  </w:style>
  <w:style w:type="character" w:styleId="HTMLCode">
    <w:name w:val="HTML Code"/>
    <w:uiPriority w:val="99"/>
    <w:semiHidden/>
    <w:rsid w:val="00B82901"/>
    <w:rPr>
      <w:rFonts w:ascii="Consolas" w:hAnsi="Consolas" w:cs="Consolas"/>
      <w:sz w:val="20"/>
      <w:szCs w:val="20"/>
    </w:rPr>
  </w:style>
  <w:style w:type="character" w:styleId="HTMLDefinition">
    <w:name w:val="HTML Definition"/>
    <w:uiPriority w:val="99"/>
    <w:semiHidden/>
    <w:rsid w:val="00B82901"/>
    <w:rPr>
      <w:i/>
      <w:iCs/>
    </w:rPr>
  </w:style>
  <w:style w:type="character" w:styleId="HTMLKeyboard">
    <w:name w:val="HTML Keyboard"/>
    <w:uiPriority w:val="99"/>
    <w:semiHidden/>
    <w:rsid w:val="00B82901"/>
    <w:rPr>
      <w:rFonts w:ascii="Consolas" w:hAnsi="Consolas" w:cs="Consolas"/>
      <w:sz w:val="20"/>
      <w:szCs w:val="20"/>
    </w:rPr>
  </w:style>
  <w:style w:type="paragraph" w:styleId="HTMLPreformatted">
    <w:name w:val="HTML Preformatted"/>
    <w:basedOn w:val="Normal"/>
    <w:link w:val="HTMLPreformattedChar"/>
    <w:uiPriority w:val="99"/>
    <w:semiHidden/>
    <w:rsid w:val="00B82901"/>
    <w:pPr>
      <w:spacing w:after="0" w:line="240" w:lineRule="auto"/>
      <w:jc w:val="both"/>
    </w:pPr>
    <w:rPr>
      <w:rFonts w:ascii="Consolas" w:eastAsia="MS Mincho"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82901"/>
    <w:rPr>
      <w:rFonts w:ascii="Consolas" w:eastAsia="MS Mincho" w:hAnsi="Consolas" w:cs="Times New Roman"/>
      <w:sz w:val="20"/>
      <w:szCs w:val="20"/>
      <w:lang w:val="x-none" w:eastAsia="x-none"/>
    </w:rPr>
  </w:style>
  <w:style w:type="character" w:styleId="HTMLSample">
    <w:name w:val="HTML Sample"/>
    <w:uiPriority w:val="99"/>
    <w:semiHidden/>
    <w:rsid w:val="00B82901"/>
    <w:rPr>
      <w:rFonts w:ascii="Consolas" w:hAnsi="Consolas" w:cs="Consolas"/>
      <w:sz w:val="24"/>
      <w:szCs w:val="24"/>
    </w:rPr>
  </w:style>
  <w:style w:type="character" w:styleId="HTMLTypewriter">
    <w:name w:val="HTML Typewriter"/>
    <w:uiPriority w:val="99"/>
    <w:semiHidden/>
    <w:rsid w:val="00B82901"/>
    <w:rPr>
      <w:rFonts w:ascii="Consolas" w:hAnsi="Consolas" w:cs="Consolas"/>
      <w:sz w:val="20"/>
      <w:szCs w:val="20"/>
    </w:rPr>
  </w:style>
  <w:style w:type="character" w:styleId="HTMLVariable">
    <w:name w:val="HTML Variable"/>
    <w:uiPriority w:val="99"/>
    <w:semiHidden/>
    <w:rsid w:val="00B82901"/>
    <w:rPr>
      <w:i/>
      <w:iCs/>
    </w:rPr>
  </w:style>
  <w:style w:type="paragraph" w:styleId="Index1">
    <w:name w:val="index 1"/>
    <w:basedOn w:val="Normal"/>
    <w:next w:val="Normal"/>
    <w:autoRedefine/>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B82901"/>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B82901"/>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B82901"/>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B82901"/>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B82901"/>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B82901"/>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B82901"/>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B82901"/>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B82901"/>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82901"/>
    <w:pPr>
      <w:spacing w:after="0" w:line="240" w:lineRule="auto"/>
    </w:pPr>
    <w:rPr>
      <w:rFonts w:ascii="Times New Roman" w:eastAsia="Times New Roman" w:hAnsi="Times New Roman" w:cs="Times New Roman"/>
      <w:color w:val="00548C"/>
      <w:sz w:val="20"/>
      <w:szCs w:val="20"/>
      <w:lang w:val="sq-AL" w:eastAsia="sq-AL"/>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B82901"/>
    <w:pPr>
      <w:spacing w:after="0" w:line="240" w:lineRule="auto"/>
    </w:pPr>
    <w:rPr>
      <w:rFonts w:ascii="Times New Roman" w:eastAsia="Times New Roman" w:hAnsi="Times New Roman" w:cs="Times New Roman"/>
      <w:color w:val="8F0000"/>
      <w:sz w:val="20"/>
      <w:szCs w:val="20"/>
      <w:lang w:val="sq-AL" w:eastAsia="sq-AL"/>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B82901"/>
    <w:pPr>
      <w:spacing w:after="0" w:line="240" w:lineRule="auto"/>
    </w:pPr>
    <w:rPr>
      <w:rFonts w:ascii="Times New Roman" w:eastAsia="Times New Roman" w:hAnsi="Times New Roman" w:cs="Times New Roman"/>
      <w:color w:val="707070"/>
      <w:sz w:val="20"/>
      <w:szCs w:val="20"/>
      <w:lang w:val="sq-AL" w:eastAsia="sq-AL"/>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B82901"/>
    <w:pPr>
      <w:spacing w:after="0" w:line="240" w:lineRule="auto"/>
    </w:pPr>
    <w:rPr>
      <w:rFonts w:ascii="Times New Roman" w:eastAsia="Times New Roman" w:hAnsi="Times New Roman" w:cs="Times New Roman"/>
      <w:color w:val="393939"/>
      <w:sz w:val="20"/>
      <w:szCs w:val="20"/>
      <w:lang w:val="sq-AL" w:eastAsia="sq-AL"/>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B82901"/>
  </w:style>
  <w:style w:type="paragraph" w:styleId="List">
    <w:name w:val="List"/>
    <w:basedOn w:val="Normal"/>
    <w:uiPriority w:val="99"/>
    <w:semiHidden/>
    <w:rsid w:val="00B82901"/>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B82901"/>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B82901"/>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B82901"/>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B82901"/>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B82901"/>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B82901"/>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B82901"/>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B82901"/>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B82901"/>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B82901"/>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B82901"/>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B82901"/>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B82901"/>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B82901"/>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B82901"/>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B82901"/>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B82901"/>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B829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B82901"/>
    <w:rPr>
      <w:rFonts w:ascii="Consolas" w:eastAsia="MS Mincho" w:hAnsi="Consolas" w:cs="Consolas"/>
      <w:sz w:val="20"/>
      <w:szCs w:val="20"/>
    </w:rPr>
  </w:style>
  <w:style w:type="table" w:styleId="MediumGrid1">
    <w:name w:val="Medium Grid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B829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82901"/>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B82901"/>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B82901"/>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B82901"/>
    <w:rPr>
      <w:rFonts w:ascii="Times New Roman" w:eastAsia="MS Mincho" w:hAnsi="Times New Roman" w:cs="Times New Roman"/>
      <w:sz w:val="24"/>
      <w:szCs w:val="20"/>
      <w:lang w:val="x-none" w:eastAsia="x-none"/>
    </w:rPr>
  </w:style>
  <w:style w:type="character" w:styleId="PlaceholderText">
    <w:name w:val="Placeholder Text"/>
    <w:uiPriority w:val="99"/>
    <w:semiHidden/>
    <w:rsid w:val="00B82901"/>
    <w:rPr>
      <w:color w:val="auto"/>
      <w:bdr w:val="none" w:sz="0" w:space="0" w:color="auto"/>
      <w:shd w:val="clear" w:color="auto" w:fill="DFDFDF"/>
    </w:rPr>
  </w:style>
  <w:style w:type="paragraph" w:styleId="PlainText">
    <w:name w:val="Plain Text"/>
    <w:basedOn w:val="Normal"/>
    <w:link w:val="PlainTextChar"/>
    <w:uiPriority w:val="99"/>
    <w:semiHidden/>
    <w:rsid w:val="00B82901"/>
    <w:pPr>
      <w:spacing w:after="0" w:line="240" w:lineRule="auto"/>
      <w:jc w:val="both"/>
    </w:pPr>
    <w:rPr>
      <w:rFonts w:ascii="Consolas" w:eastAsia="MS Mincho"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82901"/>
    <w:rPr>
      <w:rFonts w:ascii="Consolas" w:eastAsia="MS Mincho" w:hAnsi="Consolas" w:cs="Times New Roman"/>
      <w:sz w:val="21"/>
      <w:szCs w:val="21"/>
      <w:lang w:val="x-none" w:eastAsia="x-none"/>
    </w:rPr>
  </w:style>
  <w:style w:type="paragraph" w:styleId="Salutation">
    <w:name w:val="Salutation"/>
    <w:basedOn w:val="Normal"/>
    <w:next w:val="Normal"/>
    <w:link w:val="Salutation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B82901"/>
    <w:rPr>
      <w:rFonts w:ascii="Times New Roman" w:eastAsia="MS Mincho" w:hAnsi="Times New Roman" w:cs="Times New Roman"/>
      <w:sz w:val="24"/>
      <w:szCs w:val="20"/>
      <w:lang w:val="x-none" w:eastAsia="x-none"/>
    </w:rPr>
  </w:style>
  <w:style w:type="paragraph" w:styleId="Signature">
    <w:name w:val="Signature"/>
    <w:basedOn w:val="Normal"/>
    <w:link w:val="Signature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B82901"/>
    <w:rPr>
      <w:rFonts w:ascii="Times New Roman" w:eastAsia="MS Mincho" w:hAnsi="Times New Roman" w:cs="Times New Roman"/>
      <w:sz w:val="24"/>
      <w:szCs w:val="20"/>
      <w:lang w:val="x-none" w:eastAsia="x-none"/>
    </w:rPr>
  </w:style>
  <w:style w:type="table" w:styleId="Table3Deffects1">
    <w:name w:val="Table 3D effects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2901"/>
    <w:pPr>
      <w:spacing w:after="0" w:line="240" w:lineRule="auto"/>
      <w:jc w:val="both"/>
    </w:pPr>
    <w:rPr>
      <w:rFonts w:ascii="Times New Roman" w:eastAsia="Times New Roman" w:hAnsi="Times New Roman" w:cs="Times New Roman"/>
      <w:color w:val="000080"/>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2901"/>
    <w:pPr>
      <w:spacing w:after="0" w:line="240" w:lineRule="auto"/>
      <w:jc w:val="both"/>
    </w:pPr>
    <w:rPr>
      <w:rFonts w:ascii="Times New Roman" w:eastAsia="Times New Roman" w:hAnsi="Times New Roman" w:cs="Times New Roman"/>
      <w:color w:val="FFFFFF"/>
      <w:sz w:val="20"/>
      <w:szCs w:val="20"/>
      <w:lang w:val="sq-AL" w:eastAsia="sq-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B82901"/>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B82901"/>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B82901"/>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B82901"/>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B82901"/>
    <w:pPr>
      <w:autoSpaceDE/>
      <w:autoSpaceDN/>
      <w:adjustRightInd/>
      <w:spacing w:after="0" w:line="240" w:lineRule="auto"/>
      <w:ind w:firstLine="284"/>
    </w:pPr>
    <w:rPr>
      <w:rFonts w:eastAsia="MS Mincho"/>
      <w:color w:val="auto"/>
      <w:szCs w:val="20"/>
      <w:lang w:val="en-GB" w:eastAsia="x-none"/>
    </w:rPr>
  </w:style>
  <w:style w:type="paragraph" w:customStyle="1" w:styleId="OpiParaSub">
    <w:name w:val="Opi_Para_Sub"/>
    <w:basedOn w:val="JuParaSub"/>
    <w:uiPriority w:val="47"/>
    <w:qFormat/>
    <w:rsid w:val="00B82901"/>
  </w:style>
  <w:style w:type="paragraph" w:customStyle="1" w:styleId="ECHRFooter">
    <w:name w:val="ECHR_Footer"/>
    <w:aliases w:val="Footer_ECHR"/>
    <w:basedOn w:val="Footer"/>
    <w:uiPriority w:val="57"/>
    <w:semiHidden/>
    <w:rsid w:val="00B8290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B82901"/>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B82901"/>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B82901"/>
  </w:style>
  <w:style w:type="paragraph" w:customStyle="1" w:styleId="OpiQuotSub">
    <w:name w:val="Opi_Quot_Sub"/>
    <w:basedOn w:val="JuQuotSub"/>
    <w:uiPriority w:val="49"/>
    <w:qFormat/>
    <w:rsid w:val="00B82901"/>
  </w:style>
  <w:style w:type="paragraph" w:customStyle="1" w:styleId="OpiTranslation">
    <w:name w:val="Opi_Translation"/>
    <w:basedOn w:val="Normal"/>
    <w:next w:val="OpiPara"/>
    <w:uiPriority w:val="40"/>
    <w:qFormat/>
    <w:rsid w:val="00B82901"/>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B82901"/>
    <w:rPr>
      <w:rFonts w:ascii="Times New Roman" w:hAnsi="Times New Roman" w:cs="Times New Roman"/>
      <w:color w:val="000000"/>
      <w:sz w:val="24"/>
      <w:szCs w:val="24"/>
      <w:lang w:val="sq-AL"/>
    </w:rPr>
  </w:style>
  <w:style w:type="paragraph" w:customStyle="1" w:styleId="jupara">
    <w:name w:val="jupara"/>
    <w:basedOn w:val="Normal"/>
    <w:rsid w:val="00B82901"/>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B82901"/>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B82901"/>
  </w:style>
  <w:style w:type="paragraph" w:customStyle="1" w:styleId="xp2">
    <w:name w:val="x_p2"/>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B82901"/>
  </w:style>
  <w:style w:type="paragraph" w:customStyle="1" w:styleId="TEKSTIIII">
    <w:name w:val="TEKSTIIII"/>
    <w:basedOn w:val="Normal"/>
    <w:qFormat/>
    <w:rsid w:val="00B82901"/>
    <w:pPr>
      <w:autoSpaceDE w:val="0"/>
      <w:autoSpaceDN w:val="0"/>
      <w:adjustRightInd w:val="0"/>
      <w:spacing w:after="0" w:line="240" w:lineRule="auto"/>
      <w:ind w:firstLine="284"/>
      <w:jc w:val="both"/>
    </w:pPr>
    <w:rPr>
      <w:rFonts w:ascii="Garamond" w:hAnsi="Garamond" w:cs="Times New Roman"/>
      <w:color w:val="000000"/>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B82901"/>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B82901"/>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B82901"/>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B82901"/>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B82901"/>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B82901"/>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B82901"/>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B82901"/>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B82901"/>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uiPriority w:val="11"/>
    <w:qFormat/>
    <w:rsid w:val="00A43DB1"/>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link w:val="ECHRParaChar"/>
    <w:uiPriority w:val="12"/>
    <w:qFormat/>
    <w:rsid w:val="00A43DB1"/>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character" w:customStyle="1" w:styleId="Heading1Char">
    <w:name w:val="Heading 1 Char"/>
    <w:basedOn w:val="DefaultParagraphFont"/>
    <w:link w:val="Heading1"/>
    <w:uiPriority w:val="9"/>
    <w:rsid w:val="00B8290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B8290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B8290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B8290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B8290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B82901"/>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B82901"/>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B8290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B82901"/>
    <w:rPr>
      <w:rFonts w:ascii="Calibri Light" w:eastAsia="Times New Roman" w:hAnsi="Calibri Light" w:cs="Times New Roman"/>
    </w:rPr>
  </w:style>
  <w:style w:type="paragraph" w:styleId="Header">
    <w:name w:val="header"/>
    <w:basedOn w:val="Normal"/>
    <w:link w:val="Head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B82901"/>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B82901"/>
    <w:rPr>
      <w:rFonts w:ascii="Calibri" w:eastAsia="Times New Roman" w:hAnsi="Calibri" w:cs="Times New Roman"/>
      <w:sz w:val="20"/>
      <w:szCs w:val="20"/>
      <w:lang w:val="en-GB" w:eastAsia="en-GB"/>
    </w:rPr>
  </w:style>
  <w:style w:type="character" w:styleId="Hyperlink">
    <w:name w:val="Hyperlink"/>
    <w:uiPriority w:val="99"/>
    <w:unhideWhenUsed/>
    <w:rsid w:val="00B82901"/>
    <w:rPr>
      <w:color w:val="0000FF"/>
      <w:u w:val="single"/>
    </w:rPr>
  </w:style>
  <w:style w:type="paragraph" w:styleId="ListParagraph">
    <w:name w:val="List Paragraph"/>
    <w:basedOn w:val="Normal"/>
    <w:uiPriority w:val="34"/>
    <w:qFormat/>
    <w:rsid w:val="00B82901"/>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8290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82901"/>
    <w:rPr>
      <w:rFonts w:ascii="Tahoma" w:eastAsia="Times New Roman" w:hAnsi="Tahoma" w:cs="Times New Roman"/>
      <w:sz w:val="16"/>
      <w:szCs w:val="16"/>
      <w:lang w:val="x-none" w:eastAsia="x-none"/>
    </w:rPr>
  </w:style>
  <w:style w:type="paragraph" w:styleId="NoSpacing">
    <w:name w:val="No Spacing"/>
    <w:link w:val="NoSpacingChar"/>
    <w:uiPriority w:val="1"/>
    <w:qFormat/>
    <w:rsid w:val="00B82901"/>
    <w:pPr>
      <w:spacing w:after="0" w:line="240" w:lineRule="auto"/>
    </w:pPr>
    <w:rPr>
      <w:rFonts w:ascii="Calibri" w:eastAsia="Times New Roman" w:hAnsi="Calibri" w:cs="Times New Roman"/>
    </w:rPr>
  </w:style>
  <w:style w:type="paragraph" w:customStyle="1" w:styleId="Default">
    <w:name w:val="Default"/>
    <w:rsid w:val="00B829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82901"/>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B82901"/>
    <w:rPr>
      <w:rFonts w:ascii="Calibri" w:eastAsia="Times New Roman" w:hAnsi="Calibri" w:cs="Times New Roman"/>
      <w:sz w:val="20"/>
      <w:szCs w:val="20"/>
    </w:rPr>
  </w:style>
  <w:style w:type="character" w:styleId="FootnoteReference">
    <w:name w:val="footnote reference"/>
    <w:uiPriority w:val="99"/>
    <w:semiHidden/>
    <w:unhideWhenUsed/>
    <w:rsid w:val="00B82901"/>
    <w:rPr>
      <w:vertAlign w:val="superscript"/>
    </w:rPr>
  </w:style>
  <w:style w:type="table" w:styleId="TableGrid">
    <w:name w:val="Table Grid"/>
    <w:basedOn w:val="TableNormal"/>
    <w:uiPriority w:val="59"/>
    <w:rsid w:val="00B82901"/>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B82901"/>
    <w:rPr>
      <w:i/>
      <w:iCs/>
      <w:smallCaps/>
      <w:spacing w:val="5"/>
    </w:rPr>
  </w:style>
  <w:style w:type="paragraph" w:customStyle="1" w:styleId="ECHRHeader">
    <w:name w:val="ECHR_Header"/>
    <w:aliases w:val="Ju_Header"/>
    <w:basedOn w:val="Header"/>
    <w:uiPriority w:val="4"/>
    <w:qFormat/>
    <w:rsid w:val="00B8290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B82901"/>
  </w:style>
  <w:style w:type="character" w:styleId="Strong">
    <w:name w:val="Strong"/>
    <w:uiPriority w:val="99"/>
    <w:qFormat/>
    <w:rsid w:val="00B82901"/>
    <w:rPr>
      <w:b/>
      <w:bCs/>
    </w:rPr>
  </w:style>
  <w:style w:type="character" w:customStyle="1" w:styleId="NoSpacingChar">
    <w:name w:val="No Spacing Char"/>
    <w:link w:val="NoSpacing"/>
    <w:uiPriority w:val="1"/>
    <w:rsid w:val="00B82901"/>
    <w:rPr>
      <w:rFonts w:ascii="Calibri" w:eastAsia="Times New Roman" w:hAnsi="Calibri" w:cs="Times New Roman"/>
    </w:rPr>
  </w:style>
  <w:style w:type="paragraph" w:customStyle="1" w:styleId="ECHRParaQuote">
    <w:name w:val="ECHR_Para_Quote"/>
    <w:aliases w:val="Ju_Quot"/>
    <w:basedOn w:val="Normal"/>
    <w:uiPriority w:val="14"/>
    <w:qFormat/>
    <w:rsid w:val="00B82901"/>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B82901"/>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B82901"/>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B82901"/>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B82901"/>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B82901"/>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B82901"/>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B8290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B82901"/>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B82901"/>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B82901"/>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B82901"/>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B82901"/>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B82901"/>
    <w:rPr>
      <w:vanish w:val="0"/>
      <w:color w:val="auto"/>
      <w:sz w:val="14"/>
      <w:bdr w:val="none" w:sz="0" w:space="0" w:color="auto"/>
      <w:shd w:val="clear" w:color="auto" w:fill="BEE5FF"/>
    </w:rPr>
  </w:style>
  <w:style w:type="paragraph" w:customStyle="1" w:styleId="JuLista">
    <w:name w:val="Ju_List_a"/>
    <w:basedOn w:val="JuList"/>
    <w:uiPriority w:val="28"/>
    <w:qFormat/>
    <w:rsid w:val="00B82901"/>
    <w:pPr>
      <w:ind w:left="346" w:firstLine="0"/>
    </w:pPr>
  </w:style>
  <w:style w:type="paragraph" w:customStyle="1" w:styleId="JuListi">
    <w:name w:val="Ju_List_i"/>
    <w:basedOn w:val="Normal"/>
    <w:next w:val="JuLista"/>
    <w:uiPriority w:val="28"/>
    <w:qFormat/>
    <w:rsid w:val="00B82901"/>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B82901"/>
    <w:rPr>
      <w:caps w:val="0"/>
      <w:smallCaps/>
    </w:rPr>
  </w:style>
  <w:style w:type="paragraph" w:customStyle="1" w:styleId="JuParaSub">
    <w:name w:val="Ju_Para_Sub"/>
    <w:basedOn w:val="ECHRPara"/>
    <w:uiPriority w:val="13"/>
    <w:qFormat/>
    <w:rsid w:val="00B82901"/>
    <w:pPr>
      <w:autoSpaceDE/>
      <w:autoSpaceDN/>
      <w:adjustRightInd/>
      <w:spacing w:after="0" w:line="240" w:lineRule="auto"/>
      <w:ind w:left="284" w:firstLine="284"/>
    </w:pPr>
    <w:rPr>
      <w:rFonts w:eastAsia="MS Mincho"/>
      <w:color w:val="auto"/>
      <w:szCs w:val="20"/>
      <w:lang w:val="en-GB" w:eastAsia="x-none"/>
    </w:rPr>
  </w:style>
  <w:style w:type="paragraph" w:customStyle="1" w:styleId="ECHRHeading1">
    <w:name w:val="ECHR_Heading_1"/>
    <w:aliases w:val="Ju_H_I_Roman"/>
    <w:basedOn w:val="Heading1"/>
    <w:next w:val="ECHRPara"/>
    <w:uiPriority w:val="19"/>
    <w:qFormat/>
    <w:rsid w:val="00B82901"/>
  </w:style>
  <w:style w:type="paragraph" w:customStyle="1" w:styleId="ECHRHeading2">
    <w:name w:val="ECHR_Heading_2"/>
    <w:aliases w:val="Ju_H_A"/>
    <w:basedOn w:val="Heading2"/>
    <w:next w:val="ECHRPara"/>
    <w:uiPriority w:val="20"/>
    <w:qFormat/>
    <w:rsid w:val="00B82901"/>
  </w:style>
  <w:style w:type="paragraph" w:customStyle="1" w:styleId="ECHRHeading3">
    <w:name w:val="ECHR_Heading_3"/>
    <w:aliases w:val="Ju_H_1."/>
    <w:basedOn w:val="Heading3"/>
    <w:next w:val="ECHRPara"/>
    <w:uiPriority w:val="21"/>
    <w:qFormat/>
    <w:rsid w:val="00B82901"/>
  </w:style>
  <w:style w:type="paragraph" w:customStyle="1" w:styleId="ECHRHeading4">
    <w:name w:val="ECHR_Heading_4"/>
    <w:aliases w:val="Ju_H_a"/>
    <w:basedOn w:val="Heading4"/>
    <w:next w:val="ECHRPara"/>
    <w:uiPriority w:val="22"/>
    <w:qFormat/>
    <w:rsid w:val="00B82901"/>
  </w:style>
  <w:style w:type="paragraph" w:customStyle="1" w:styleId="ECHRHeading5">
    <w:name w:val="ECHR_Heading_5"/>
    <w:aliases w:val="Ju_H_i"/>
    <w:basedOn w:val="Heading5"/>
    <w:next w:val="ECHRPara"/>
    <w:uiPriority w:val="23"/>
    <w:qFormat/>
    <w:rsid w:val="00B82901"/>
  </w:style>
  <w:style w:type="paragraph" w:customStyle="1" w:styleId="ECHRHeading6">
    <w:name w:val="ECHR_Heading_6"/>
    <w:aliases w:val="Ju_H_alpha"/>
    <w:basedOn w:val="Heading6"/>
    <w:next w:val="ECHRPara"/>
    <w:uiPriority w:val="24"/>
    <w:qFormat/>
    <w:rsid w:val="00B82901"/>
  </w:style>
  <w:style w:type="paragraph" w:customStyle="1" w:styleId="ECHRHeading7">
    <w:name w:val="ECHR_Heading_7"/>
    <w:aliases w:val="Ju_H_–"/>
    <w:basedOn w:val="Heading7"/>
    <w:next w:val="ECHRPara"/>
    <w:uiPriority w:val="25"/>
    <w:qFormat/>
    <w:rsid w:val="00B82901"/>
  </w:style>
  <w:style w:type="paragraph" w:customStyle="1" w:styleId="JuParaLast">
    <w:name w:val="Ju_Para_Last"/>
    <w:basedOn w:val="Normal"/>
    <w:next w:val="ECHRPara"/>
    <w:uiPriority w:val="30"/>
    <w:qFormat/>
    <w:rsid w:val="00B82901"/>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JuList">
    <w:name w:val="Ju_List"/>
    <w:basedOn w:val="Normal"/>
    <w:uiPriority w:val="28"/>
    <w:qFormat/>
    <w:rsid w:val="00B82901"/>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B82901"/>
    <w:pPr>
      <w:ind w:left="567"/>
    </w:pPr>
  </w:style>
  <w:style w:type="paragraph" w:customStyle="1" w:styleId="JuTitle">
    <w:name w:val="Ju_Title"/>
    <w:basedOn w:val="Normal"/>
    <w:next w:val="ECHRPara"/>
    <w:uiPriority w:val="3"/>
    <w:semiHidden/>
    <w:qFormat/>
    <w:rsid w:val="00B82901"/>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B82901"/>
    <w:rPr>
      <w:i/>
      <w:iCs/>
    </w:rPr>
  </w:style>
  <w:style w:type="paragraph" w:customStyle="1" w:styleId="OpiH1">
    <w:name w:val="Opi_H_1"/>
    <w:basedOn w:val="ECHRHeading2"/>
    <w:uiPriority w:val="42"/>
    <w:qFormat/>
    <w:rsid w:val="00B8290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B82901"/>
    <w:pPr>
      <w:spacing w:after="0" w:line="240" w:lineRule="auto"/>
    </w:pPr>
    <w:rPr>
      <w:rFonts w:ascii="Times New Roman" w:eastAsia="Times New Roman" w:hAnsi="Times New Roman" w:cs="Times New Roman"/>
      <w:sz w:val="20"/>
      <w:szCs w:val="20"/>
      <w:lang w:val="en-GB"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B82901"/>
    <w:pPr>
      <w:spacing w:after="0" w:line="240" w:lineRule="auto"/>
    </w:pPr>
    <w:rPr>
      <w:rFonts w:ascii="Verdana" w:eastAsia="Times New Roman" w:hAnsi="Verdana" w:cs="Times New Roman"/>
      <w:sz w:val="20"/>
      <w:szCs w:val="20"/>
      <w:lang w:val="en-GB" w:eastAsia="sq-AL"/>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B8290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B8290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B8290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B82901"/>
    <w:rPr>
      <w:b/>
      <w:bCs/>
      <w:i/>
      <w:iCs/>
      <w:spacing w:val="10"/>
      <w:bdr w:val="none" w:sz="0" w:space="0" w:color="auto"/>
      <w:shd w:val="clear" w:color="auto" w:fill="auto"/>
    </w:rPr>
  </w:style>
  <w:style w:type="character" w:styleId="IntenseEmphasis">
    <w:name w:val="Intense Emphasis"/>
    <w:uiPriority w:val="99"/>
    <w:qFormat/>
    <w:rsid w:val="00B82901"/>
    <w:rPr>
      <w:b/>
      <w:bCs/>
    </w:rPr>
  </w:style>
  <w:style w:type="paragraph" w:styleId="IntenseQuote">
    <w:name w:val="Intense Quote"/>
    <w:basedOn w:val="Normal"/>
    <w:next w:val="Normal"/>
    <w:link w:val="IntenseQuoteChar"/>
    <w:uiPriority w:val="99"/>
    <w:qFormat/>
    <w:rsid w:val="00B82901"/>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B82901"/>
    <w:rPr>
      <w:rFonts w:ascii="Times New Roman" w:eastAsia="MS Mincho" w:hAnsi="Times New Roman" w:cs="Times New Roman"/>
      <w:b/>
      <w:bCs/>
      <w:i/>
      <w:iCs/>
      <w:sz w:val="20"/>
      <w:szCs w:val="20"/>
      <w:lang w:val="x-none" w:eastAsia="x-none" w:bidi="en-US"/>
    </w:rPr>
  </w:style>
  <w:style w:type="character" w:styleId="IntenseReference">
    <w:name w:val="Intense Reference"/>
    <w:uiPriority w:val="99"/>
    <w:qFormat/>
    <w:rsid w:val="00B82901"/>
    <w:rPr>
      <w:smallCaps/>
      <w:spacing w:val="5"/>
      <w:u w:val="single"/>
    </w:rPr>
  </w:style>
  <w:style w:type="table" w:customStyle="1" w:styleId="LtrTableAddress">
    <w:name w:val="Ltr_Table_Addres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5103" w:type="dxa"/>
    </w:tblPr>
  </w:style>
  <w:style w:type="paragraph" w:styleId="Quote">
    <w:name w:val="Quote"/>
    <w:basedOn w:val="Normal"/>
    <w:next w:val="Normal"/>
    <w:link w:val="QuoteChar"/>
    <w:uiPriority w:val="99"/>
    <w:qFormat/>
    <w:rsid w:val="00B82901"/>
    <w:pPr>
      <w:spacing w:before="200" w:after="0" w:line="240" w:lineRule="auto"/>
      <w:ind w:left="360" w:right="360"/>
      <w:jc w:val="both"/>
    </w:pPr>
    <w:rPr>
      <w:rFonts w:ascii="Times New Roman" w:eastAsia="MS Mincho"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B82901"/>
    <w:rPr>
      <w:rFonts w:ascii="Times New Roman" w:eastAsia="MS Mincho" w:hAnsi="Times New Roman" w:cs="Times New Roman"/>
      <w:i/>
      <w:iCs/>
      <w:sz w:val="20"/>
      <w:szCs w:val="20"/>
      <w:lang w:val="x-none" w:eastAsia="x-none" w:bidi="en-US"/>
    </w:rPr>
  </w:style>
  <w:style w:type="character" w:styleId="SubtleReference">
    <w:name w:val="Subtle Reference"/>
    <w:uiPriority w:val="99"/>
    <w:qFormat/>
    <w:rsid w:val="00B82901"/>
    <w:rPr>
      <w:smallCaps/>
    </w:rPr>
  </w:style>
  <w:style w:type="paragraph" w:styleId="TOC1">
    <w:name w:val="toc 1"/>
    <w:basedOn w:val="Normal"/>
    <w:next w:val="Normal"/>
    <w:autoRedefine/>
    <w:uiPriority w:val="99"/>
    <w:semiHidden/>
    <w:rsid w:val="00B82901"/>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B82901"/>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B82901"/>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B82901"/>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B82901"/>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B82901"/>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B82901"/>
    <w:pPr>
      <w:spacing w:after="0" w:line="240" w:lineRule="auto"/>
    </w:pPr>
    <w:rPr>
      <w:rFonts w:ascii="Times New Roman" w:eastAsia="Times New Roman" w:hAnsi="Times New Roman" w:cs="Times New Roman"/>
      <w:color w:val="000000"/>
      <w:sz w:val="18"/>
      <w:szCs w:val="20"/>
      <w:lang w:val="sq-AL" w:eastAsia="sq-AL"/>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B82901"/>
    <w:pPr>
      <w:spacing w:after="0" w:line="240" w:lineRule="auto"/>
    </w:pPr>
    <w:rPr>
      <w:rFonts w:ascii="Times New Roman" w:eastAsia="Times New Roman" w:hAnsi="Times New Roman" w:cs="Times New Roman"/>
      <w:color w:val="000000"/>
      <w:sz w:val="20"/>
      <w:szCs w:val="20"/>
      <w:lang w:val="sq-AL" w:eastAsia="sq-AL"/>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B82901"/>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B82901"/>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B82901"/>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B82901"/>
    <w:pPr>
      <w:numPr>
        <w:numId w:val="4"/>
      </w:numPr>
    </w:pPr>
  </w:style>
  <w:style w:type="numbering" w:styleId="1ai">
    <w:name w:val="Outline List 1"/>
    <w:basedOn w:val="NoList"/>
    <w:uiPriority w:val="99"/>
    <w:semiHidden/>
    <w:unhideWhenUsed/>
    <w:rsid w:val="00B82901"/>
    <w:pPr>
      <w:numPr>
        <w:numId w:val="5"/>
      </w:numPr>
    </w:pPr>
  </w:style>
  <w:style w:type="table" w:customStyle="1" w:styleId="ECHRTableSimpleBox">
    <w:name w:val="ECHR_Table_Simple_Box"/>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B82901"/>
    <w:pPr>
      <w:numPr>
        <w:numId w:val="6"/>
      </w:numPr>
    </w:pPr>
  </w:style>
  <w:style w:type="table" w:customStyle="1" w:styleId="ECHRTableForInternalUse">
    <w:name w:val="ECHR_Table_For_Internal_Use"/>
    <w:basedOn w:val="TableNormal"/>
    <w:uiPriority w:val="99"/>
    <w:rsid w:val="00B82901"/>
    <w:pPr>
      <w:spacing w:after="0" w:line="240" w:lineRule="auto"/>
    </w:pPr>
    <w:rPr>
      <w:rFonts w:ascii="Times New Roman" w:eastAsia="Times New Roman" w:hAnsi="Times New Roman" w:cs="Times New Roman"/>
      <w:color w:val="636363"/>
      <w:sz w:val="18"/>
      <w:szCs w:val="20"/>
      <w:lang w:val="sq-AL" w:eastAsia="sq-AL"/>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B8290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B82901"/>
    <w:pPr>
      <w:spacing w:after="120" w:line="240" w:lineRule="auto"/>
      <w:jc w:val="both"/>
    </w:pPr>
    <w:rPr>
      <w:rFonts w:ascii="Times New Roman" w:eastAsia="MS Mincho"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B82901"/>
    <w:rPr>
      <w:rFonts w:ascii="Times New Roman" w:eastAsia="MS Mincho" w:hAnsi="Times New Roman" w:cs="Times New Roman"/>
      <w:sz w:val="24"/>
      <w:szCs w:val="20"/>
      <w:lang w:val="x-none" w:eastAsia="x-none"/>
    </w:rPr>
  </w:style>
  <w:style w:type="table" w:customStyle="1" w:styleId="ECHRTableOddBanded">
    <w:name w:val="ECHR_Table_Odd_Band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B82901"/>
    <w:pPr>
      <w:spacing w:after="120" w:line="480" w:lineRule="auto"/>
      <w:jc w:val="both"/>
    </w:pPr>
    <w:rPr>
      <w:rFonts w:ascii="Times New Roman" w:eastAsia="MS Mincho"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B82901"/>
    <w:rPr>
      <w:rFonts w:ascii="Times New Roman" w:eastAsia="MS Mincho" w:hAnsi="Times New Roman" w:cs="Times New Roman"/>
      <w:sz w:val="24"/>
      <w:szCs w:val="20"/>
      <w:lang w:val="x-none" w:eastAsia="x-none"/>
    </w:rPr>
  </w:style>
  <w:style w:type="table" w:customStyle="1" w:styleId="ECHRHeaderTableReduced">
    <w:name w:val="ECHR_Header_Table_Reduc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B82901"/>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B82901"/>
    <w:rPr>
      <w:sz w:val="18"/>
    </w:rPr>
  </w:style>
  <w:style w:type="paragraph" w:styleId="ListBullet">
    <w:name w:val="List Bullet"/>
    <w:basedOn w:val="Normal"/>
    <w:uiPriority w:val="99"/>
    <w:semiHidden/>
    <w:rsid w:val="00B82901"/>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B82901"/>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B82901"/>
    <w:pPr>
      <w:spacing w:after="120" w:line="240" w:lineRule="auto"/>
      <w:jc w:val="both"/>
    </w:pPr>
    <w:rPr>
      <w:rFonts w:ascii="Times New Roman" w:eastAsia="MS Mincho"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B82901"/>
    <w:rPr>
      <w:rFonts w:ascii="Times New Roman" w:eastAsia="MS Mincho"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B82901"/>
    <w:pPr>
      <w:spacing w:after="0"/>
      <w:ind w:firstLine="360"/>
    </w:pPr>
  </w:style>
  <w:style w:type="character" w:customStyle="1" w:styleId="BodyTextFirstIndentChar">
    <w:name w:val="Body Text First Indent Char"/>
    <w:basedOn w:val="BodyTextChar"/>
    <w:link w:val="BodyTextFirstIndent"/>
    <w:uiPriority w:val="99"/>
    <w:semiHidden/>
    <w:rsid w:val="00B82901"/>
    <w:rPr>
      <w:rFonts w:ascii="Times New Roman" w:eastAsia="MS Mincho" w:hAnsi="Times New Roman" w:cs="Times New Roman"/>
      <w:sz w:val="24"/>
      <w:szCs w:val="20"/>
      <w:lang w:val="x-none" w:eastAsia="x-none"/>
    </w:rPr>
  </w:style>
  <w:style w:type="paragraph" w:styleId="BodyTextIndent">
    <w:name w:val="Body Text Indent"/>
    <w:basedOn w:val="Normal"/>
    <w:link w:val="BodyTextIndentChar"/>
    <w:uiPriority w:val="99"/>
    <w:semiHidden/>
    <w:rsid w:val="00B82901"/>
    <w:pPr>
      <w:spacing w:after="120" w:line="240" w:lineRule="auto"/>
      <w:ind w:left="283"/>
      <w:jc w:val="both"/>
    </w:pPr>
    <w:rPr>
      <w:rFonts w:ascii="Times New Roman" w:eastAsia="MS Mincho"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B82901"/>
    <w:rPr>
      <w:rFonts w:ascii="Times New Roman" w:eastAsia="MS Mincho"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B829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2901"/>
    <w:rPr>
      <w:rFonts w:ascii="Times New Roman" w:eastAsia="MS Mincho" w:hAnsi="Times New Roman" w:cs="Times New Roman"/>
      <w:sz w:val="24"/>
      <w:szCs w:val="20"/>
      <w:lang w:val="x-none" w:eastAsia="x-none"/>
    </w:rPr>
  </w:style>
  <w:style w:type="paragraph" w:styleId="BodyTextIndent2">
    <w:name w:val="Body Text Indent 2"/>
    <w:basedOn w:val="Normal"/>
    <w:link w:val="BodyTextIndent2Char"/>
    <w:uiPriority w:val="99"/>
    <w:semiHidden/>
    <w:rsid w:val="00B82901"/>
    <w:pPr>
      <w:spacing w:after="120" w:line="480" w:lineRule="auto"/>
      <w:ind w:left="283"/>
      <w:jc w:val="both"/>
    </w:pPr>
    <w:rPr>
      <w:rFonts w:ascii="Times New Roman" w:eastAsia="MS Mincho"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B82901"/>
    <w:rPr>
      <w:rFonts w:ascii="Times New Roman" w:eastAsia="MS Mincho" w:hAnsi="Times New Roman" w:cs="Times New Roman"/>
      <w:sz w:val="24"/>
      <w:szCs w:val="20"/>
      <w:lang w:val="x-none" w:eastAsia="x-none"/>
    </w:rPr>
  </w:style>
  <w:style w:type="paragraph" w:styleId="BodyTextIndent3">
    <w:name w:val="Body Text Indent 3"/>
    <w:basedOn w:val="Normal"/>
    <w:link w:val="BodyTextIndent3Char"/>
    <w:uiPriority w:val="99"/>
    <w:semiHidden/>
    <w:rsid w:val="00B82901"/>
    <w:pPr>
      <w:spacing w:after="120" w:line="240" w:lineRule="auto"/>
      <w:ind w:left="283"/>
      <w:jc w:val="both"/>
    </w:pPr>
    <w:rPr>
      <w:rFonts w:ascii="Times New Roman" w:eastAsia="MS Mincho"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B82901"/>
    <w:rPr>
      <w:rFonts w:ascii="Times New Roman" w:eastAsia="MS Mincho" w:hAnsi="Times New Roman" w:cs="Times New Roman"/>
      <w:sz w:val="16"/>
      <w:szCs w:val="16"/>
      <w:lang w:val="x-none" w:eastAsia="x-none"/>
    </w:rPr>
  </w:style>
  <w:style w:type="paragraph" w:styleId="Caption">
    <w:name w:val="caption"/>
    <w:basedOn w:val="Normal"/>
    <w:next w:val="Normal"/>
    <w:uiPriority w:val="99"/>
    <w:semiHidden/>
    <w:qFormat/>
    <w:rsid w:val="00B82901"/>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B82901"/>
    <w:rPr>
      <w:rFonts w:ascii="Times New Roman" w:eastAsia="MS Mincho" w:hAnsi="Times New Roman" w:cs="Times New Roman"/>
      <w:sz w:val="24"/>
      <w:szCs w:val="20"/>
      <w:lang w:val="x-none" w:eastAsia="x-none"/>
    </w:rPr>
  </w:style>
  <w:style w:type="table" w:styleId="ColorfulGrid">
    <w:name w:val="Colorful Grid"/>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B82901"/>
    <w:rPr>
      <w:sz w:val="16"/>
      <w:szCs w:val="16"/>
    </w:rPr>
  </w:style>
  <w:style w:type="paragraph" w:styleId="CommentText">
    <w:name w:val="annotation text"/>
    <w:basedOn w:val="Normal"/>
    <w:link w:val="CommentTextChar"/>
    <w:uiPriority w:val="99"/>
    <w:semiHidden/>
    <w:rsid w:val="00B82901"/>
    <w:pPr>
      <w:spacing w:after="0" w:line="240" w:lineRule="auto"/>
      <w:jc w:val="both"/>
    </w:pPr>
    <w:rPr>
      <w:rFonts w:ascii="Times New Roman" w:eastAsia="MS Mincho"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82901"/>
    <w:rPr>
      <w:rFonts w:ascii="Times New Roman"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B82901"/>
    <w:rPr>
      <w:b/>
      <w:bCs/>
    </w:rPr>
  </w:style>
  <w:style w:type="character" w:customStyle="1" w:styleId="CommentSubjectChar">
    <w:name w:val="Comment Subject Char"/>
    <w:basedOn w:val="CommentTextChar"/>
    <w:link w:val="CommentSubject"/>
    <w:uiPriority w:val="99"/>
    <w:semiHidden/>
    <w:rsid w:val="00B82901"/>
    <w:rPr>
      <w:rFonts w:ascii="Times New Roman" w:eastAsia="MS Mincho" w:hAnsi="Times New Roman" w:cs="Times New Roman"/>
      <w:b/>
      <w:bCs/>
      <w:sz w:val="20"/>
      <w:szCs w:val="20"/>
      <w:lang w:val="x-none" w:eastAsia="x-none"/>
    </w:rPr>
  </w:style>
  <w:style w:type="table" w:styleId="DarkList">
    <w:name w:val="Dark List"/>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DateChar">
    <w:name w:val="Date Char"/>
    <w:basedOn w:val="DefaultParagraphFont"/>
    <w:link w:val="Date"/>
    <w:uiPriority w:val="99"/>
    <w:semiHidden/>
    <w:rsid w:val="00B82901"/>
    <w:rPr>
      <w:rFonts w:ascii="Times New Roman" w:eastAsia="MS Mincho" w:hAnsi="Times New Roman" w:cs="Times New Roman"/>
      <w:sz w:val="24"/>
      <w:szCs w:val="20"/>
      <w:lang w:val="x-none" w:eastAsia="x-none"/>
    </w:rPr>
  </w:style>
  <w:style w:type="paragraph" w:styleId="DocumentMap">
    <w:name w:val="Document Map"/>
    <w:basedOn w:val="Normal"/>
    <w:link w:val="DocumentMapChar"/>
    <w:uiPriority w:val="99"/>
    <w:semiHidden/>
    <w:rsid w:val="00B82901"/>
    <w:pPr>
      <w:spacing w:after="0" w:line="240" w:lineRule="auto"/>
      <w:jc w:val="both"/>
    </w:pPr>
    <w:rPr>
      <w:rFonts w:ascii="Tahoma" w:eastAsia="MS Mincho"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82901"/>
    <w:rPr>
      <w:rFonts w:ascii="Tahoma" w:eastAsia="MS Mincho" w:hAnsi="Tahoma" w:cs="Times New Roman"/>
      <w:sz w:val="16"/>
      <w:szCs w:val="16"/>
      <w:lang w:val="x-none" w:eastAsia="x-none"/>
    </w:rPr>
  </w:style>
  <w:style w:type="paragraph" w:styleId="E-mailSignature">
    <w:name w:val="E-mail Signature"/>
    <w:basedOn w:val="Normal"/>
    <w:link w:val="E-mailSignatur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B82901"/>
    <w:rPr>
      <w:rFonts w:ascii="Times New Roman" w:eastAsia="MS Mincho" w:hAnsi="Times New Roman" w:cs="Times New Roman"/>
      <w:sz w:val="24"/>
      <w:szCs w:val="20"/>
      <w:lang w:val="x-none" w:eastAsia="x-none"/>
    </w:rPr>
  </w:style>
  <w:style w:type="character" w:styleId="EndnoteReference">
    <w:name w:val="endnote reference"/>
    <w:uiPriority w:val="99"/>
    <w:semiHidden/>
    <w:rsid w:val="00B82901"/>
    <w:rPr>
      <w:vertAlign w:val="superscript"/>
    </w:rPr>
  </w:style>
  <w:style w:type="paragraph" w:styleId="EndnoteText">
    <w:name w:val="endnote text"/>
    <w:basedOn w:val="Normal"/>
    <w:link w:val="EndnoteTextChar"/>
    <w:uiPriority w:val="99"/>
    <w:semiHidden/>
    <w:rsid w:val="00B82901"/>
    <w:pPr>
      <w:spacing w:after="0" w:line="240" w:lineRule="auto"/>
      <w:jc w:val="both"/>
    </w:pPr>
    <w:rPr>
      <w:rFonts w:ascii="Times New Roman" w:eastAsia="MS Mincho"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B82901"/>
    <w:rPr>
      <w:rFonts w:ascii="Times New Roman" w:eastAsia="MS Mincho" w:hAnsi="Times New Roman" w:cs="Times New Roman"/>
      <w:sz w:val="20"/>
      <w:szCs w:val="20"/>
      <w:lang w:val="en-GB" w:eastAsia="x-none"/>
    </w:rPr>
  </w:style>
  <w:style w:type="paragraph" w:styleId="EnvelopeAddress">
    <w:name w:val="envelope address"/>
    <w:basedOn w:val="Normal"/>
    <w:uiPriority w:val="99"/>
    <w:semiHidden/>
    <w:rsid w:val="00B82901"/>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B82901"/>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B82901"/>
    <w:rPr>
      <w:color w:val="7030A0"/>
      <w:u w:val="single"/>
    </w:rPr>
  </w:style>
  <w:style w:type="character" w:styleId="HTMLAcronym">
    <w:name w:val="HTML Acronym"/>
    <w:basedOn w:val="DefaultParagraphFont"/>
    <w:uiPriority w:val="99"/>
    <w:semiHidden/>
    <w:rsid w:val="00B82901"/>
  </w:style>
  <w:style w:type="paragraph" w:styleId="HTMLAddress">
    <w:name w:val="HTML Address"/>
    <w:basedOn w:val="Normal"/>
    <w:link w:val="HTMLAddressChar"/>
    <w:uiPriority w:val="99"/>
    <w:semiHidden/>
    <w:rsid w:val="00B82901"/>
    <w:pPr>
      <w:spacing w:after="0" w:line="240" w:lineRule="auto"/>
      <w:jc w:val="both"/>
    </w:pPr>
    <w:rPr>
      <w:rFonts w:ascii="Times New Roman" w:eastAsia="MS Mincho"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B82901"/>
    <w:rPr>
      <w:rFonts w:ascii="Times New Roman" w:eastAsia="MS Mincho" w:hAnsi="Times New Roman" w:cs="Times New Roman"/>
      <w:i/>
      <w:iCs/>
      <w:sz w:val="24"/>
      <w:szCs w:val="20"/>
      <w:lang w:val="x-none" w:eastAsia="x-none"/>
    </w:rPr>
  </w:style>
  <w:style w:type="character" w:styleId="HTMLCite">
    <w:name w:val="HTML Cite"/>
    <w:uiPriority w:val="99"/>
    <w:semiHidden/>
    <w:rsid w:val="00B82901"/>
    <w:rPr>
      <w:i/>
      <w:iCs/>
    </w:rPr>
  </w:style>
  <w:style w:type="character" w:styleId="HTMLCode">
    <w:name w:val="HTML Code"/>
    <w:uiPriority w:val="99"/>
    <w:semiHidden/>
    <w:rsid w:val="00B82901"/>
    <w:rPr>
      <w:rFonts w:ascii="Consolas" w:hAnsi="Consolas" w:cs="Consolas"/>
      <w:sz w:val="20"/>
      <w:szCs w:val="20"/>
    </w:rPr>
  </w:style>
  <w:style w:type="character" w:styleId="HTMLDefinition">
    <w:name w:val="HTML Definition"/>
    <w:uiPriority w:val="99"/>
    <w:semiHidden/>
    <w:rsid w:val="00B82901"/>
    <w:rPr>
      <w:i/>
      <w:iCs/>
    </w:rPr>
  </w:style>
  <w:style w:type="character" w:styleId="HTMLKeyboard">
    <w:name w:val="HTML Keyboard"/>
    <w:uiPriority w:val="99"/>
    <w:semiHidden/>
    <w:rsid w:val="00B82901"/>
    <w:rPr>
      <w:rFonts w:ascii="Consolas" w:hAnsi="Consolas" w:cs="Consolas"/>
      <w:sz w:val="20"/>
      <w:szCs w:val="20"/>
    </w:rPr>
  </w:style>
  <w:style w:type="paragraph" w:styleId="HTMLPreformatted">
    <w:name w:val="HTML Preformatted"/>
    <w:basedOn w:val="Normal"/>
    <w:link w:val="HTMLPreformattedChar"/>
    <w:uiPriority w:val="99"/>
    <w:semiHidden/>
    <w:rsid w:val="00B82901"/>
    <w:pPr>
      <w:spacing w:after="0" w:line="240" w:lineRule="auto"/>
      <w:jc w:val="both"/>
    </w:pPr>
    <w:rPr>
      <w:rFonts w:ascii="Consolas" w:eastAsia="MS Mincho"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82901"/>
    <w:rPr>
      <w:rFonts w:ascii="Consolas" w:eastAsia="MS Mincho" w:hAnsi="Consolas" w:cs="Times New Roman"/>
      <w:sz w:val="20"/>
      <w:szCs w:val="20"/>
      <w:lang w:val="x-none" w:eastAsia="x-none"/>
    </w:rPr>
  </w:style>
  <w:style w:type="character" w:styleId="HTMLSample">
    <w:name w:val="HTML Sample"/>
    <w:uiPriority w:val="99"/>
    <w:semiHidden/>
    <w:rsid w:val="00B82901"/>
    <w:rPr>
      <w:rFonts w:ascii="Consolas" w:hAnsi="Consolas" w:cs="Consolas"/>
      <w:sz w:val="24"/>
      <w:szCs w:val="24"/>
    </w:rPr>
  </w:style>
  <w:style w:type="character" w:styleId="HTMLTypewriter">
    <w:name w:val="HTML Typewriter"/>
    <w:uiPriority w:val="99"/>
    <w:semiHidden/>
    <w:rsid w:val="00B82901"/>
    <w:rPr>
      <w:rFonts w:ascii="Consolas" w:hAnsi="Consolas" w:cs="Consolas"/>
      <w:sz w:val="20"/>
      <w:szCs w:val="20"/>
    </w:rPr>
  </w:style>
  <w:style w:type="character" w:styleId="HTMLVariable">
    <w:name w:val="HTML Variable"/>
    <w:uiPriority w:val="99"/>
    <w:semiHidden/>
    <w:rsid w:val="00B82901"/>
    <w:rPr>
      <w:i/>
      <w:iCs/>
    </w:rPr>
  </w:style>
  <w:style w:type="paragraph" w:styleId="Index1">
    <w:name w:val="index 1"/>
    <w:basedOn w:val="Normal"/>
    <w:next w:val="Normal"/>
    <w:autoRedefine/>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B82901"/>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B82901"/>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B82901"/>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B82901"/>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B82901"/>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B82901"/>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B82901"/>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B82901"/>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B82901"/>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82901"/>
    <w:pPr>
      <w:spacing w:after="0" w:line="240" w:lineRule="auto"/>
    </w:pPr>
    <w:rPr>
      <w:rFonts w:ascii="Times New Roman" w:eastAsia="Times New Roman" w:hAnsi="Times New Roman" w:cs="Times New Roman"/>
      <w:color w:val="00548C"/>
      <w:sz w:val="20"/>
      <w:szCs w:val="20"/>
      <w:lang w:val="sq-AL" w:eastAsia="sq-AL"/>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B82901"/>
    <w:pPr>
      <w:spacing w:after="0" w:line="240" w:lineRule="auto"/>
    </w:pPr>
    <w:rPr>
      <w:rFonts w:ascii="Times New Roman" w:eastAsia="Times New Roman" w:hAnsi="Times New Roman" w:cs="Times New Roman"/>
      <w:color w:val="8F0000"/>
      <w:sz w:val="20"/>
      <w:szCs w:val="20"/>
      <w:lang w:val="sq-AL" w:eastAsia="sq-AL"/>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B82901"/>
    <w:pPr>
      <w:spacing w:after="0" w:line="240" w:lineRule="auto"/>
    </w:pPr>
    <w:rPr>
      <w:rFonts w:ascii="Times New Roman" w:eastAsia="Times New Roman" w:hAnsi="Times New Roman" w:cs="Times New Roman"/>
      <w:color w:val="707070"/>
      <w:sz w:val="20"/>
      <w:szCs w:val="20"/>
      <w:lang w:val="sq-AL" w:eastAsia="sq-AL"/>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B82901"/>
    <w:pPr>
      <w:spacing w:after="0" w:line="240" w:lineRule="auto"/>
    </w:pPr>
    <w:rPr>
      <w:rFonts w:ascii="Times New Roman" w:eastAsia="Times New Roman" w:hAnsi="Times New Roman" w:cs="Times New Roman"/>
      <w:color w:val="393939"/>
      <w:sz w:val="20"/>
      <w:szCs w:val="20"/>
      <w:lang w:val="sq-AL" w:eastAsia="sq-AL"/>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B82901"/>
  </w:style>
  <w:style w:type="paragraph" w:styleId="List">
    <w:name w:val="List"/>
    <w:basedOn w:val="Normal"/>
    <w:uiPriority w:val="99"/>
    <w:semiHidden/>
    <w:rsid w:val="00B82901"/>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B82901"/>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B82901"/>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B82901"/>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B82901"/>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B82901"/>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B82901"/>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B82901"/>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B82901"/>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B82901"/>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B82901"/>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B82901"/>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B82901"/>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B82901"/>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B82901"/>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B82901"/>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B82901"/>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B82901"/>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B829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B82901"/>
    <w:rPr>
      <w:rFonts w:ascii="Consolas" w:eastAsia="MS Mincho" w:hAnsi="Consolas" w:cs="Consolas"/>
      <w:sz w:val="20"/>
      <w:szCs w:val="20"/>
    </w:rPr>
  </w:style>
  <w:style w:type="table" w:styleId="MediumGrid1">
    <w:name w:val="Medium Grid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B829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82901"/>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B82901"/>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B82901"/>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B82901"/>
    <w:rPr>
      <w:rFonts w:ascii="Times New Roman" w:eastAsia="MS Mincho" w:hAnsi="Times New Roman" w:cs="Times New Roman"/>
      <w:sz w:val="24"/>
      <w:szCs w:val="20"/>
      <w:lang w:val="x-none" w:eastAsia="x-none"/>
    </w:rPr>
  </w:style>
  <w:style w:type="character" w:styleId="PlaceholderText">
    <w:name w:val="Placeholder Text"/>
    <w:uiPriority w:val="99"/>
    <w:semiHidden/>
    <w:rsid w:val="00B82901"/>
    <w:rPr>
      <w:color w:val="auto"/>
      <w:bdr w:val="none" w:sz="0" w:space="0" w:color="auto"/>
      <w:shd w:val="clear" w:color="auto" w:fill="DFDFDF"/>
    </w:rPr>
  </w:style>
  <w:style w:type="paragraph" w:styleId="PlainText">
    <w:name w:val="Plain Text"/>
    <w:basedOn w:val="Normal"/>
    <w:link w:val="PlainTextChar"/>
    <w:uiPriority w:val="99"/>
    <w:semiHidden/>
    <w:rsid w:val="00B82901"/>
    <w:pPr>
      <w:spacing w:after="0" w:line="240" w:lineRule="auto"/>
      <w:jc w:val="both"/>
    </w:pPr>
    <w:rPr>
      <w:rFonts w:ascii="Consolas" w:eastAsia="MS Mincho"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82901"/>
    <w:rPr>
      <w:rFonts w:ascii="Consolas" w:eastAsia="MS Mincho" w:hAnsi="Consolas" w:cs="Times New Roman"/>
      <w:sz w:val="21"/>
      <w:szCs w:val="21"/>
      <w:lang w:val="x-none" w:eastAsia="x-none"/>
    </w:rPr>
  </w:style>
  <w:style w:type="paragraph" w:styleId="Salutation">
    <w:name w:val="Salutation"/>
    <w:basedOn w:val="Normal"/>
    <w:next w:val="Normal"/>
    <w:link w:val="Salutation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B82901"/>
    <w:rPr>
      <w:rFonts w:ascii="Times New Roman" w:eastAsia="MS Mincho" w:hAnsi="Times New Roman" w:cs="Times New Roman"/>
      <w:sz w:val="24"/>
      <w:szCs w:val="20"/>
      <w:lang w:val="x-none" w:eastAsia="x-none"/>
    </w:rPr>
  </w:style>
  <w:style w:type="paragraph" w:styleId="Signature">
    <w:name w:val="Signature"/>
    <w:basedOn w:val="Normal"/>
    <w:link w:val="Signature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B82901"/>
    <w:rPr>
      <w:rFonts w:ascii="Times New Roman" w:eastAsia="MS Mincho" w:hAnsi="Times New Roman" w:cs="Times New Roman"/>
      <w:sz w:val="24"/>
      <w:szCs w:val="20"/>
      <w:lang w:val="x-none" w:eastAsia="x-none"/>
    </w:rPr>
  </w:style>
  <w:style w:type="table" w:styleId="Table3Deffects1">
    <w:name w:val="Table 3D effects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2901"/>
    <w:pPr>
      <w:spacing w:after="0" w:line="240" w:lineRule="auto"/>
      <w:jc w:val="both"/>
    </w:pPr>
    <w:rPr>
      <w:rFonts w:ascii="Times New Roman" w:eastAsia="Times New Roman" w:hAnsi="Times New Roman" w:cs="Times New Roman"/>
      <w:color w:val="000080"/>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2901"/>
    <w:pPr>
      <w:spacing w:after="0" w:line="240" w:lineRule="auto"/>
      <w:jc w:val="both"/>
    </w:pPr>
    <w:rPr>
      <w:rFonts w:ascii="Times New Roman" w:eastAsia="Times New Roman" w:hAnsi="Times New Roman" w:cs="Times New Roman"/>
      <w:color w:val="FFFFFF"/>
      <w:sz w:val="20"/>
      <w:szCs w:val="20"/>
      <w:lang w:val="sq-AL" w:eastAsia="sq-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B82901"/>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B82901"/>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B82901"/>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B82901"/>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B82901"/>
    <w:pPr>
      <w:autoSpaceDE/>
      <w:autoSpaceDN/>
      <w:adjustRightInd/>
      <w:spacing w:after="0" w:line="240" w:lineRule="auto"/>
      <w:ind w:firstLine="284"/>
    </w:pPr>
    <w:rPr>
      <w:rFonts w:eastAsia="MS Mincho"/>
      <w:color w:val="auto"/>
      <w:szCs w:val="20"/>
      <w:lang w:val="en-GB" w:eastAsia="x-none"/>
    </w:rPr>
  </w:style>
  <w:style w:type="paragraph" w:customStyle="1" w:styleId="OpiParaSub">
    <w:name w:val="Opi_Para_Sub"/>
    <w:basedOn w:val="JuParaSub"/>
    <w:uiPriority w:val="47"/>
    <w:qFormat/>
    <w:rsid w:val="00B82901"/>
  </w:style>
  <w:style w:type="paragraph" w:customStyle="1" w:styleId="ECHRFooter">
    <w:name w:val="ECHR_Footer"/>
    <w:aliases w:val="Footer_ECHR"/>
    <w:basedOn w:val="Footer"/>
    <w:uiPriority w:val="57"/>
    <w:semiHidden/>
    <w:rsid w:val="00B8290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B82901"/>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B82901"/>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B82901"/>
  </w:style>
  <w:style w:type="paragraph" w:customStyle="1" w:styleId="OpiQuotSub">
    <w:name w:val="Opi_Quot_Sub"/>
    <w:basedOn w:val="JuQuotSub"/>
    <w:uiPriority w:val="49"/>
    <w:qFormat/>
    <w:rsid w:val="00B82901"/>
  </w:style>
  <w:style w:type="paragraph" w:customStyle="1" w:styleId="OpiTranslation">
    <w:name w:val="Opi_Translation"/>
    <w:basedOn w:val="Normal"/>
    <w:next w:val="OpiPara"/>
    <w:uiPriority w:val="40"/>
    <w:qFormat/>
    <w:rsid w:val="00B82901"/>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B82901"/>
    <w:rPr>
      <w:rFonts w:ascii="Times New Roman" w:hAnsi="Times New Roman" w:cs="Times New Roman"/>
      <w:color w:val="000000"/>
      <w:sz w:val="24"/>
      <w:szCs w:val="24"/>
      <w:lang w:val="sq-AL"/>
    </w:rPr>
  </w:style>
  <w:style w:type="paragraph" w:customStyle="1" w:styleId="jupara">
    <w:name w:val="jupara"/>
    <w:basedOn w:val="Normal"/>
    <w:rsid w:val="00B82901"/>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B82901"/>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B82901"/>
  </w:style>
  <w:style w:type="paragraph" w:customStyle="1" w:styleId="xp2">
    <w:name w:val="x_p2"/>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B82901"/>
  </w:style>
  <w:style w:type="paragraph" w:customStyle="1" w:styleId="TEKSTIIII">
    <w:name w:val="TEKSTIIII"/>
    <w:basedOn w:val="Normal"/>
    <w:qFormat/>
    <w:rsid w:val="00B82901"/>
    <w:pPr>
      <w:autoSpaceDE w:val="0"/>
      <w:autoSpaceDN w:val="0"/>
      <w:adjustRightInd w:val="0"/>
      <w:spacing w:after="0" w:line="240" w:lineRule="auto"/>
      <w:ind w:firstLine="284"/>
      <w:jc w:val="both"/>
    </w:pPr>
    <w:rPr>
      <w:rFonts w:ascii="Garamond" w:hAnsi="Garamond" w:cs="Times New Roman"/>
      <w:color w:val="00000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37474-20</Nr_x002e__x0020_akti>
    <Data_x0020_e_x0020_Krijimit xmlns="0e656187-b300-4fb0-8bf4-3a50f872073c">2023-01-23T12:34:26Z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2023-01-19T23:00:00Z</Date_x0020_protokolli>
    <Titulli xmlns="0e656187-b300-4fb0-8bf4-3a50f872073c">Çështja Besnik Cani kundër Shqipërisë ( kërkesa nr. 37474-20)</Titulli>
    <Modifikuesi xmlns="0e656187-b300-4fb0-8bf4-3a50f872073c">alma.lisaku</Modifikuesi>
    <Nr_x002e__x0020_prot_x0020_QBZ xmlns="0e656187-b300-4fb0-8bf4-3a50f872073c">117/1</Nr_x002e__x0020_prot_x0020_QBZ>
    <Data_x0020_e_x0020_Modifikimit xmlns="0e656187-b300-4fb0-8bf4-3a50f872073c">2023-01-24T10:47:36Z</Data_x0020_e_x0020_Modifikimit>
    <Dekretuar xmlns="0e656187-b300-4fb0-8bf4-3a50f872073c">false</Dekretuar>
    <Data xmlns="0e656187-b300-4fb0-8bf4-3a50f872073c">2022-10-03T22:00:00Z</Data>
    <Nr_x002e__x0020_protokolli_x0020_i_x0020_aktit xmlns="0e656187-b300-4fb0-8bf4-3a50f872073c">183/1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157115D003E4495D834D3B68257A9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157115D003E4495D834D3B68257A9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F827-5000-42B5-9281-CD88B6624C16}">
  <ds:schemaRefs>
    <ds:schemaRef ds:uri="http://schemas.microsoft.com/sharepoint/v3/contenttype/forms"/>
  </ds:schemaRefs>
</ds:datastoreItem>
</file>

<file path=customXml/itemProps2.xml><?xml version="1.0" encoding="utf-8"?>
<ds:datastoreItem xmlns:ds="http://schemas.openxmlformats.org/officeDocument/2006/customXml" ds:itemID="{BB252002-5856-4437-9FCF-B20DC0049A1F}">
  <ds:schemaRefs>
    <ds:schemaRef ds:uri="http://purl.org/dc/elements/1.1/"/>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997519-41F5-4371-A97D-3F783346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114C7C-18D9-49AD-B00B-B3C4CDBB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D9D67B6-4213-4E97-BA7E-F5DB23E38891}">
  <ds:schemaRefs>
    <ds:schemaRef ds:uri="http://schemas.microsoft.com/sharepoint/v3/contenttype/forms"/>
  </ds:schemaRefs>
</ds:datastoreItem>
</file>

<file path=customXml/itemProps6.xml><?xml version="1.0" encoding="utf-8"?>
<ds:datastoreItem xmlns:ds="http://schemas.openxmlformats.org/officeDocument/2006/customXml" ds:itemID="{B9D91FE4-6C08-41C2-B1C9-EB8C1411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14321</Words>
  <Characters>81635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Çështja Besnik Cani kundër Shqipërisë ( kërkesa nr. 37474-20)</vt:lpstr>
    </vt:vector>
  </TitlesOfParts>
  <Company/>
  <LinksUpToDate>false</LinksUpToDate>
  <CharactersWithSpaces>95765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Besnik Cani kundër Shqipërisë ( kërkesa nr. 37474-20)</dc:title>
  <dc:creator>Entela Suli</dc:creator>
  <cp:lastModifiedBy>Jonida Zaharia</cp:lastModifiedBy>
  <cp:revision>2</cp:revision>
  <dcterms:created xsi:type="dcterms:W3CDTF">2024-03-11T11:39:00Z</dcterms:created>
  <dcterms:modified xsi:type="dcterms:W3CDTF">2024-03-11T11:39:00Z</dcterms:modified>
</cp:coreProperties>
</file>