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03B55" w14:textId="40162812" w:rsidR="00963F5D" w:rsidRPr="00963F5D" w:rsidRDefault="00963F5D" w:rsidP="0046164E">
      <w:pPr>
        <w:pStyle w:val="DecHTitle"/>
        <w:spacing w:after="0"/>
        <w:ind w:firstLine="284"/>
        <w:rPr>
          <w:rFonts w:ascii="Garamond" w:hAnsi="Garamond"/>
          <w:sz w:val="24"/>
        </w:rPr>
      </w:pPr>
      <w:bookmarkStart w:id="0" w:name="_Hlk75456740"/>
      <w:r w:rsidRPr="00963F5D">
        <w:rPr>
          <w:rFonts w:ascii="Garamond" w:hAnsi="Garamond"/>
          <w:sz w:val="24"/>
        </w:rPr>
        <w:t xml:space="preserve">GJYKATA EVROPIANE E TË DREJTAVE TË NJERIUT </w:t>
      </w:r>
    </w:p>
    <w:p w14:paraId="474CC668" w14:textId="77777777" w:rsidR="00963F5D" w:rsidRDefault="00963F5D" w:rsidP="0046164E">
      <w:pPr>
        <w:pStyle w:val="DecHTitle"/>
        <w:spacing w:after="0"/>
        <w:ind w:firstLine="284"/>
        <w:rPr>
          <w:rFonts w:ascii="Garamond" w:hAnsi="Garamond"/>
          <w:sz w:val="24"/>
        </w:rPr>
      </w:pPr>
    </w:p>
    <w:p w14:paraId="7AEE7784" w14:textId="22567DB7" w:rsidR="00687739" w:rsidRPr="0046164E" w:rsidRDefault="00687739" w:rsidP="0046164E">
      <w:pPr>
        <w:pStyle w:val="DecHTitle"/>
        <w:spacing w:after="0"/>
        <w:ind w:firstLine="284"/>
        <w:rPr>
          <w:rFonts w:ascii="Garamond" w:hAnsi="Garamond"/>
          <w:sz w:val="24"/>
        </w:rPr>
      </w:pPr>
      <w:r w:rsidRPr="0046164E">
        <w:rPr>
          <w:rFonts w:ascii="Garamond" w:hAnsi="Garamond"/>
          <w:sz w:val="24"/>
        </w:rPr>
        <w:t>SEKSIONI I TRETË</w:t>
      </w:r>
    </w:p>
    <w:p w14:paraId="296BEE41" w14:textId="290DEE3B" w:rsidR="00687739" w:rsidRPr="0046164E" w:rsidRDefault="00537967" w:rsidP="0046164E">
      <w:pPr>
        <w:pStyle w:val="DecHTitle"/>
        <w:spacing w:after="0"/>
        <w:ind w:firstLine="284"/>
        <w:rPr>
          <w:rFonts w:ascii="Garamond" w:hAnsi="Garamond"/>
          <w:b/>
          <w:bCs/>
          <w:sz w:val="24"/>
        </w:rPr>
      </w:pPr>
      <w:bookmarkStart w:id="1" w:name="_GoBack"/>
      <w:r w:rsidRPr="0046164E">
        <w:rPr>
          <w:rFonts w:ascii="Garamond" w:hAnsi="Garamond"/>
          <w:b/>
          <w:bCs/>
          <w:sz w:val="24"/>
        </w:rPr>
        <w:t>Ç</w:t>
      </w:r>
      <w:r w:rsidR="00FC640C" w:rsidRPr="0046164E">
        <w:rPr>
          <w:rFonts w:ascii="Garamond" w:hAnsi="Garamond"/>
          <w:b/>
          <w:bCs/>
          <w:sz w:val="24"/>
        </w:rPr>
        <w:t>Ë</w:t>
      </w:r>
      <w:r w:rsidRPr="0046164E">
        <w:rPr>
          <w:rFonts w:ascii="Garamond" w:hAnsi="Garamond"/>
          <w:b/>
          <w:bCs/>
          <w:sz w:val="24"/>
        </w:rPr>
        <w:t xml:space="preserve">SHTJA </w:t>
      </w:r>
      <w:r w:rsidR="00A02FBD" w:rsidRPr="0046164E">
        <w:rPr>
          <w:rFonts w:ascii="Garamond" w:hAnsi="Garamond"/>
          <w:b/>
          <w:bCs/>
          <w:sz w:val="24"/>
        </w:rPr>
        <w:t>ZEQO DHE SEAT SHPK</w:t>
      </w:r>
      <w:r w:rsidRPr="0046164E">
        <w:rPr>
          <w:rFonts w:ascii="Garamond" w:hAnsi="Garamond"/>
          <w:b/>
          <w:bCs/>
          <w:sz w:val="24"/>
        </w:rPr>
        <w:t xml:space="preserve"> KUND</w:t>
      </w:r>
      <w:r w:rsidR="00FC640C" w:rsidRPr="0046164E">
        <w:rPr>
          <w:rFonts w:ascii="Garamond" w:hAnsi="Garamond"/>
          <w:b/>
          <w:bCs/>
          <w:sz w:val="24"/>
        </w:rPr>
        <w:t>Ë</w:t>
      </w:r>
      <w:r w:rsidRPr="0046164E">
        <w:rPr>
          <w:rFonts w:ascii="Garamond" w:hAnsi="Garamond"/>
          <w:b/>
          <w:bCs/>
          <w:sz w:val="24"/>
        </w:rPr>
        <w:t>R SHQIP</w:t>
      </w:r>
      <w:r w:rsidR="00FC640C" w:rsidRPr="0046164E">
        <w:rPr>
          <w:rFonts w:ascii="Garamond" w:hAnsi="Garamond"/>
          <w:b/>
          <w:bCs/>
          <w:sz w:val="24"/>
        </w:rPr>
        <w:t>Ë</w:t>
      </w:r>
      <w:r w:rsidRPr="0046164E">
        <w:rPr>
          <w:rFonts w:ascii="Garamond" w:hAnsi="Garamond"/>
          <w:b/>
          <w:bCs/>
          <w:sz w:val="24"/>
        </w:rPr>
        <w:t>RIS</w:t>
      </w:r>
      <w:r w:rsidR="00FC640C" w:rsidRPr="0046164E">
        <w:rPr>
          <w:rFonts w:ascii="Garamond" w:hAnsi="Garamond"/>
          <w:b/>
          <w:bCs/>
          <w:sz w:val="24"/>
        </w:rPr>
        <w:t>Ë</w:t>
      </w:r>
    </w:p>
    <w:bookmarkEnd w:id="1"/>
    <w:p w14:paraId="323416CD" w14:textId="27BB2B56" w:rsidR="00BC1916" w:rsidRPr="0046164E" w:rsidRDefault="00537967" w:rsidP="0046164E">
      <w:pPr>
        <w:pStyle w:val="NoSpacing"/>
        <w:ind w:firstLine="284"/>
        <w:jc w:val="center"/>
        <w:rPr>
          <w:rFonts w:ascii="Garamond" w:hAnsi="Garamond"/>
        </w:rPr>
      </w:pPr>
      <w:r w:rsidRPr="0046164E">
        <w:rPr>
          <w:rFonts w:ascii="Garamond" w:hAnsi="Garamond"/>
        </w:rPr>
        <w:t>(</w:t>
      </w:r>
      <w:r w:rsidRPr="0046164E">
        <w:rPr>
          <w:rFonts w:ascii="Garamond" w:hAnsi="Garamond"/>
          <w:i/>
          <w:iCs/>
        </w:rPr>
        <w:t>K</w:t>
      </w:r>
      <w:r w:rsidR="00FC640C" w:rsidRPr="0046164E">
        <w:rPr>
          <w:rFonts w:ascii="Garamond" w:hAnsi="Garamond"/>
          <w:i/>
          <w:iCs/>
        </w:rPr>
        <w:t>ë</w:t>
      </w:r>
      <w:r w:rsidRPr="0046164E">
        <w:rPr>
          <w:rFonts w:ascii="Garamond" w:hAnsi="Garamond"/>
          <w:i/>
          <w:iCs/>
        </w:rPr>
        <w:t>rkesa</w:t>
      </w:r>
      <w:r w:rsidR="003C6D54" w:rsidRPr="0046164E">
        <w:rPr>
          <w:rFonts w:ascii="Garamond" w:hAnsi="Garamond"/>
          <w:i/>
          <w:iCs/>
        </w:rPr>
        <w:t xml:space="preserve">t nr. </w:t>
      </w:r>
      <w:r w:rsidR="00A02FBD" w:rsidRPr="0046164E">
        <w:rPr>
          <w:rFonts w:ascii="Garamond" w:hAnsi="Garamond"/>
          <w:i/>
          <w:iCs/>
        </w:rPr>
        <w:t>61445/12 dhe 53157/15</w:t>
      </w:r>
      <w:r w:rsidRPr="0046164E">
        <w:rPr>
          <w:rFonts w:ascii="Garamond" w:hAnsi="Garamond"/>
          <w:i/>
          <w:iCs/>
        </w:rPr>
        <w:t>)</w:t>
      </w:r>
      <w:r w:rsidR="00131C8D" w:rsidRPr="0046164E">
        <w:rPr>
          <w:rFonts w:ascii="Garamond" w:hAnsi="Garamond"/>
        </w:rPr>
        <w:br/>
      </w:r>
    </w:p>
    <w:p w14:paraId="078BF323" w14:textId="31A0C159" w:rsidR="00537967" w:rsidRPr="0046164E" w:rsidRDefault="00537967" w:rsidP="0046164E">
      <w:pPr>
        <w:pStyle w:val="NoSpacing"/>
        <w:ind w:firstLine="284"/>
        <w:jc w:val="center"/>
        <w:rPr>
          <w:rFonts w:ascii="Garamond" w:hAnsi="Garamond"/>
        </w:rPr>
      </w:pPr>
      <w:r w:rsidRPr="0046164E">
        <w:rPr>
          <w:rFonts w:ascii="Garamond" w:hAnsi="Garamond"/>
        </w:rPr>
        <w:t>VENDIM</w:t>
      </w:r>
    </w:p>
    <w:p w14:paraId="3780B8F1" w14:textId="6043D7C8" w:rsidR="00537967" w:rsidRPr="0046164E" w:rsidRDefault="00537967" w:rsidP="0046164E">
      <w:pPr>
        <w:pStyle w:val="NoSpacing"/>
        <w:ind w:firstLine="284"/>
        <w:jc w:val="center"/>
        <w:rPr>
          <w:rFonts w:ascii="Garamond" w:hAnsi="Garamond"/>
        </w:rPr>
      </w:pPr>
    </w:p>
    <w:p w14:paraId="5B175B98" w14:textId="7F26326B" w:rsidR="009013F1" w:rsidRPr="0046164E" w:rsidRDefault="009013F1" w:rsidP="0046164E">
      <w:pPr>
        <w:pStyle w:val="NoSpacing"/>
        <w:ind w:firstLine="284"/>
        <w:jc w:val="center"/>
        <w:rPr>
          <w:rFonts w:ascii="Garamond" w:hAnsi="Garamond"/>
        </w:rPr>
      </w:pPr>
      <w:r w:rsidRPr="0046164E">
        <w:rPr>
          <w:rFonts w:ascii="Garamond" w:hAnsi="Garamond"/>
        </w:rPr>
        <w:t>STRASBURG</w:t>
      </w:r>
    </w:p>
    <w:p w14:paraId="08C2ECED" w14:textId="4B924FEB" w:rsidR="009013F1" w:rsidRPr="0046164E" w:rsidRDefault="00A02FBD" w:rsidP="0046164E">
      <w:pPr>
        <w:pStyle w:val="NoSpacing"/>
        <w:ind w:firstLine="284"/>
        <w:jc w:val="center"/>
        <w:rPr>
          <w:rFonts w:ascii="Garamond" w:hAnsi="Garamond"/>
        </w:rPr>
      </w:pPr>
      <w:r w:rsidRPr="0046164E">
        <w:rPr>
          <w:rFonts w:ascii="Garamond" w:hAnsi="Garamond"/>
        </w:rPr>
        <w:t xml:space="preserve">22 </w:t>
      </w:r>
      <w:r w:rsidR="00E04E35">
        <w:rPr>
          <w:rFonts w:ascii="Garamond" w:hAnsi="Garamond"/>
        </w:rPr>
        <w:t>q</w:t>
      </w:r>
      <w:r w:rsidRPr="0046164E">
        <w:rPr>
          <w:rFonts w:ascii="Garamond" w:hAnsi="Garamond"/>
        </w:rPr>
        <w:t>ershor 2023</w:t>
      </w:r>
    </w:p>
    <w:p w14:paraId="7CDCAE55" w14:textId="77777777" w:rsidR="001F179F" w:rsidRPr="0046164E" w:rsidRDefault="001F179F" w:rsidP="0046164E">
      <w:pPr>
        <w:pStyle w:val="NoSpacing"/>
        <w:ind w:firstLine="284"/>
        <w:jc w:val="center"/>
        <w:rPr>
          <w:rFonts w:ascii="Garamond" w:hAnsi="Garamond"/>
        </w:rPr>
      </w:pPr>
    </w:p>
    <w:p w14:paraId="02AAEC1F" w14:textId="5DDD935C" w:rsidR="009013F1" w:rsidRPr="0046164E" w:rsidRDefault="009013F1" w:rsidP="0046164E">
      <w:pPr>
        <w:pStyle w:val="NoSpacing"/>
        <w:ind w:firstLine="284"/>
        <w:jc w:val="center"/>
        <w:rPr>
          <w:rFonts w:ascii="Garamond" w:hAnsi="Garamond"/>
          <w:i/>
          <w:iCs/>
        </w:rPr>
      </w:pPr>
      <w:r w:rsidRPr="0046164E">
        <w:rPr>
          <w:rFonts w:ascii="Garamond" w:hAnsi="Garamond"/>
          <w:i/>
          <w:iCs/>
        </w:rPr>
        <w:t xml:space="preserve">Ky vendim </w:t>
      </w:r>
      <w:r w:rsidR="00871502" w:rsidRPr="0046164E">
        <w:rPr>
          <w:rFonts w:ascii="Garamond" w:hAnsi="Garamond"/>
          <w:i/>
          <w:iCs/>
        </w:rPr>
        <w:t>ë</w:t>
      </w:r>
      <w:r w:rsidR="008C7485" w:rsidRPr="0046164E">
        <w:rPr>
          <w:rFonts w:ascii="Garamond" w:hAnsi="Garamond"/>
          <w:i/>
          <w:iCs/>
        </w:rPr>
        <w:t>sht</w:t>
      </w:r>
      <w:r w:rsidR="00871502" w:rsidRPr="0046164E">
        <w:rPr>
          <w:rFonts w:ascii="Garamond" w:hAnsi="Garamond"/>
          <w:i/>
          <w:iCs/>
        </w:rPr>
        <w:t>ë</w:t>
      </w:r>
      <w:r w:rsidR="008C7485" w:rsidRPr="0046164E">
        <w:rPr>
          <w:rFonts w:ascii="Garamond" w:hAnsi="Garamond"/>
          <w:i/>
          <w:iCs/>
        </w:rPr>
        <w:t xml:space="preserve"> </w:t>
      </w:r>
      <w:r w:rsidR="00A02FBD" w:rsidRPr="0046164E">
        <w:rPr>
          <w:rFonts w:ascii="Garamond" w:hAnsi="Garamond"/>
          <w:i/>
          <w:iCs/>
        </w:rPr>
        <w:t>p</w:t>
      </w:r>
      <w:r w:rsidR="001F179F" w:rsidRPr="0046164E">
        <w:rPr>
          <w:rFonts w:ascii="Garamond" w:hAnsi="Garamond"/>
          <w:i/>
          <w:iCs/>
        </w:rPr>
        <w:t>ë</w:t>
      </w:r>
      <w:r w:rsidR="00A02FBD" w:rsidRPr="0046164E">
        <w:rPr>
          <w:rFonts w:ascii="Garamond" w:hAnsi="Garamond"/>
          <w:i/>
          <w:iCs/>
        </w:rPr>
        <w:t>rfundimtar, por</w:t>
      </w:r>
      <w:r w:rsidRPr="0046164E">
        <w:rPr>
          <w:rFonts w:ascii="Garamond" w:hAnsi="Garamond"/>
          <w:i/>
          <w:iCs/>
        </w:rPr>
        <w:t xml:space="preserve"> mund t</w:t>
      </w:r>
      <w:r w:rsidR="00FC640C" w:rsidRPr="0046164E">
        <w:rPr>
          <w:rFonts w:ascii="Garamond" w:hAnsi="Garamond"/>
          <w:i/>
          <w:iCs/>
        </w:rPr>
        <w:t>ë</w:t>
      </w:r>
      <w:r w:rsidRPr="0046164E">
        <w:rPr>
          <w:rFonts w:ascii="Garamond" w:hAnsi="Garamond"/>
          <w:i/>
          <w:iCs/>
        </w:rPr>
        <w:t xml:space="preserve"> b</w:t>
      </w:r>
      <w:r w:rsidR="00FC640C" w:rsidRPr="0046164E">
        <w:rPr>
          <w:rFonts w:ascii="Garamond" w:hAnsi="Garamond"/>
          <w:i/>
          <w:iCs/>
        </w:rPr>
        <w:t>ë</w:t>
      </w:r>
      <w:r w:rsidRPr="0046164E">
        <w:rPr>
          <w:rFonts w:ascii="Garamond" w:hAnsi="Garamond"/>
          <w:i/>
          <w:iCs/>
        </w:rPr>
        <w:t>het objekt i rishikimit redaktues.</w:t>
      </w:r>
    </w:p>
    <w:p w14:paraId="6C5C98C5" w14:textId="77777777" w:rsidR="00D51F72" w:rsidRPr="0046164E" w:rsidRDefault="00D51F72" w:rsidP="0046164E">
      <w:pPr>
        <w:pStyle w:val="JuPara"/>
        <w:rPr>
          <w:rFonts w:ascii="Garamond" w:hAnsi="Garamond"/>
          <w:b/>
          <w:bCs/>
        </w:rPr>
      </w:pPr>
    </w:p>
    <w:p w14:paraId="43196883" w14:textId="143899A3" w:rsidR="005774A1" w:rsidRPr="0046164E" w:rsidRDefault="005774A1" w:rsidP="0046164E">
      <w:pPr>
        <w:pStyle w:val="JuPara"/>
        <w:rPr>
          <w:rFonts w:ascii="Garamond" w:hAnsi="Garamond"/>
          <w:b/>
          <w:bCs/>
        </w:rPr>
      </w:pPr>
      <w:r w:rsidRPr="0046164E">
        <w:rPr>
          <w:rFonts w:ascii="Garamond" w:hAnsi="Garamond"/>
          <w:b/>
          <w:bCs/>
        </w:rPr>
        <w:t>N</w:t>
      </w:r>
      <w:r w:rsidR="00FC640C" w:rsidRPr="0046164E">
        <w:rPr>
          <w:rFonts w:ascii="Garamond" w:hAnsi="Garamond"/>
          <w:b/>
          <w:bCs/>
        </w:rPr>
        <w:t>ë</w:t>
      </w:r>
      <w:r w:rsidRPr="0046164E">
        <w:rPr>
          <w:rFonts w:ascii="Garamond" w:hAnsi="Garamond"/>
          <w:b/>
          <w:bCs/>
        </w:rPr>
        <w:t xml:space="preserve"> </w:t>
      </w:r>
      <w:r w:rsidR="00FC640C" w:rsidRPr="0046164E">
        <w:rPr>
          <w:rFonts w:ascii="Garamond" w:hAnsi="Garamond"/>
          <w:b/>
          <w:bCs/>
        </w:rPr>
        <w:t>çë</w:t>
      </w:r>
      <w:r w:rsidRPr="0046164E">
        <w:rPr>
          <w:rFonts w:ascii="Garamond" w:hAnsi="Garamond"/>
          <w:b/>
          <w:bCs/>
        </w:rPr>
        <w:t xml:space="preserve">shtjen </w:t>
      </w:r>
      <w:proofErr w:type="spellStart"/>
      <w:r w:rsidR="00A02FBD" w:rsidRPr="0046164E">
        <w:rPr>
          <w:rFonts w:ascii="Garamond" w:hAnsi="Garamond"/>
          <w:b/>
          <w:bCs/>
        </w:rPr>
        <w:t>Zeqo</w:t>
      </w:r>
      <w:proofErr w:type="spellEnd"/>
      <w:r w:rsidR="00A02FBD" w:rsidRPr="0046164E">
        <w:rPr>
          <w:rFonts w:ascii="Garamond" w:hAnsi="Garamond"/>
          <w:b/>
          <w:bCs/>
        </w:rPr>
        <w:t xml:space="preserve"> dhe </w:t>
      </w:r>
      <w:proofErr w:type="spellStart"/>
      <w:r w:rsidR="00A02FBD" w:rsidRPr="0046164E">
        <w:rPr>
          <w:rFonts w:ascii="Garamond" w:hAnsi="Garamond"/>
          <w:b/>
          <w:bCs/>
        </w:rPr>
        <w:t>Seat</w:t>
      </w:r>
      <w:proofErr w:type="spellEnd"/>
      <w:r w:rsidR="00A02FBD" w:rsidRPr="0046164E">
        <w:rPr>
          <w:rFonts w:ascii="Garamond" w:hAnsi="Garamond"/>
          <w:b/>
          <w:bCs/>
        </w:rPr>
        <w:t xml:space="preserve"> </w:t>
      </w:r>
      <w:proofErr w:type="spellStart"/>
      <w:r w:rsidR="00E04E35" w:rsidRPr="0046164E">
        <w:rPr>
          <w:rFonts w:ascii="Garamond" w:hAnsi="Garamond"/>
          <w:b/>
          <w:bCs/>
        </w:rPr>
        <w:t>sh.p.k</w:t>
      </w:r>
      <w:proofErr w:type="spellEnd"/>
      <w:r w:rsidR="00E04E35" w:rsidRPr="0046164E">
        <w:rPr>
          <w:rFonts w:ascii="Garamond" w:hAnsi="Garamond"/>
          <w:b/>
          <w:bCs/>
        </w:rPr>
        <w:t xml:space="preserve">. </w:t>
      </w:r>
      <w:r w:rsidRPr="0046164E">
        <w:rPr>
          <w:rFonts w:ascii="Garamond" w:hAnsi="Garamond"/>
          <w:b/>
          <w:bCs/>
        </w:rPr>
        <w:t>kund</w:t>
      </w:r>
      <w:r w:rsidR="00FC640C" w:rsidRPr="0046164E">
        <w:rPr>
          <w:rFonts w:ascii="Garamond" w:hAnsi="Garamond"/>
          <w:b/>
          <w:bCs/>
        </w:rPr>
        <w:t>ë</w:t>
      </w:r>
      <w:r w:rsidRPr="0046164E">
        <w:rPr>
          <w:rFonts w:ascii="Garamond" w:hAnsi="Garamond"/>
          <w:b/>
          <w:bCs/>
        </w:rPr>
        <w:t>r Shqip</w:t>
      </w:r>
      <w:r w:rsidR="00FC640C" w:rsidRPr="0046164E">
        <w:rPr>
          <w:rFonts w:ascii="Garamond" w:hAnsi="Garamond"/>
          <w:b/>
          <w:bCs/>
        </w:rPr>
        <w:t>ë</w:t>
      </w:r>
      <w:r w:rsidRPr="0046164E">
        <w:rPr>
          <w:rFonts w:ascii="Garamond" w:hAnsi="Garamond"/>
          <w:b/>
          <w:bCs/>
        </w:rPr>
        <w:t>ris</w:t>
      </w:r>
      <w:r w:rsidR="00FC640C" w:rsidRPr="0046164E">
        <w:rPr>
          <w:rFonts w:ascii="Garamond" w:hAnsi="Garamond"/>
          <w:b/>
          <w:bCs/>
        </w:rPr>
        <w:t>ë</w:t>
      </w:r>
      <w:r w:rsidR="00A02FBD" w:rsidRPr="0046164E">
        <w:rPr>
          <w:rFonts w:ascii="Garamond" w:hAnsi="Garamond"/>
          <w:b/>
          <w:bCs/>
        </w:rPr>
        <w:t>,</w:t>
      </w:r>
      <w:r w:rsidRPr="0046164E">
        <w:rPr>
          <w:rFonts w:ascii="Garamond" w:hAnsi="Garamond"/>
          <w:b/>
          <w:bCs/>
        </w:rPr>
        <w:t xml:space="preserve"> </w:t>
      </w:r>
    </w:p>
    <w:p w14:paraId="698D22CF" w14:textId="5F5E7FB6" w:rsidR="00687739" w:rsidRPr="0046164E" w:rsidRDefault="00687739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/>
        </w:rPr>
        <w:t>Gjykata E</w:t>
      </w:r>
      <w:r w:rsidR="0086129F" w:rsidRPr="0046164E">
        <w:rPr>
          <w:rFonts w:ascii="Garamond" w:hAnsi="Garamond"/>
        </w:rPr>
        <w:t>v</w:t>
      </w:r>
      <w:r w:rsidRPr="0046164E">
        <w:rPr>
          <w:rFonts w:ascii="Garamond" w:hAnsi="Garamond"/>
        </w:rPr>
        <w:t xml:space="preserve">ropiane e të Drejtave të Njeriut (Seksioni </w:t>
      </w:r>
      <w:r w:rsidR="000A7592" w:rsidRPr="0046164E">
        <w:rPr>
          <w:rFonts w:ascii="Garamond" w:hAnsi="Garamond"/>
        </w:rPr>
        <w:t>i</w:t>
      </w:r>
      <w:r w:rsidR="00597374" w:rsidRPr="0046164E">
        <w:rPr>
          <w:rFonts w:ascii="Garamond" w:hAnsi="Garamond"/>
        </w:rPr>
        <w:t xml:space="preserve"> Tretë)</w:t>
      </w:r>
      <w:r w:rsidR="00963F5D">
        <w:rPr>
          <w:rFonts w:ascii="Garamond" w:hAnsi="Garamond"/>
        </w:rPr>
        <w:t>,</w:t>
      </w:r>
      <w:r w:rsidR="00597374" w:rsidRPr="0046164E">
        <w:rPr>
          <w:rFonts w:ascii="Garamond" w:hAnsi="Garamond"/>
        </w:rPr>
        <w:t xml:space="preserve"> e mbledhur </w:t>
      </w:r>
      <w:r w:rsidR="005774A1" w:rsidRPr="0046164E">
        <w:rPr>
          <w:rFonts w:ascii="Garamond" w:hAnsi="Garamond"/>
        </w:rPr>
        <w:t>si</w:t>
      </w:r>
      <w:r w:rsidR="00B108AF" w:rsidRPr="0046164E">
        <w:rPr>
          <w:rFonts w:ascii="Garamond" w:hAnsi="Garamond"/>
        </w:rPr>
        <w:t xml:space="preserve"> </w:t>
      </w:r>
      <w:r w:rsidR="00A02FBD" w:rsidRPr="0046164E">
        <w:rPr>
          <w:rFonts w:ascii="Garamond" w:hAnsi="Garamond"/>
        </w:rPr>
        <w:t>nj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 xml:space="preserve"> Komision</w:t>
      </w:r>
      <w:r w:rsidRPr="0046164E">
        <w:rPr>
          <w:rFonts w:ascii="Garamond" w:hAnsi="Garamond"/>
        </w:rPr>
        <w:t>,</w:t>
      </w:r>
      <w:r w:rsidR="00A02FBD" w:rsidRPr="0046164E">
        <w:rPr>
          <w:rFonts w:ascii="Garamond" w:hAnsi="Garamond"/>
        </w:rPr>
        <w:t xml:space="preserve"> i</w:t>
      </w:r>
      <w:r w:rsidRPr="0046164E">
        <w:rPr>
          <w:rFonts w:ascii="Garamond" w:hAnsi="Garamond"/>
        </w:rPr>
        <w:t xml:space="preserve"> përbërë nga: </w:t>
      </w:r>
    </w:p>
    <w:p w14:paraId="5D9C341A" w14:textId="77777777" w:rsidR="00EA647C" w:rsidRDefault="00A02FBD" w:rsidP="0046164E">
      <w:pPr>
        <w:pStyle w:val="JuJudges"/>
        <w:ind w:firstLine="284"/>
        <w:rPr>
          <w:rFonts w:ascii="Garamond" w:hAnsi="Garamond"/>
          <w:i/>
        </w:rPr>
      </w:pPr>
      <w:proofErr w:type="spellStart"/>
      <w:r w:rsidRPr="0046164E">
        <w:rPr>
          <w:rFonts w:ascii="Garamond" w:hAnsi="Garamond"/>
        </w:rPr>
        <w:t>Ioannis</w:t>
      </w:r>
      <w:proofErr w:type="spellEnd"/>
      <w:r w:rsidRPr="0046164E">
        <w:rPr>
          <w:rFonts w:ascii="Garamond" w:hAnsi="Garamond"/>
        </w:rPr>
        <w:t xml:space="preserve"> </w:t>
      </w:r>
      <w:proofErr w:type="spellStart"/>
      <w:r w:rsidRPr="0046164E">
        <w:rPr>
          <w:rFonts w:ascii="Garamond" w:hAnsi="Garamond"/>
        </w:rPr>
        <w:t>Ktistakis</w:t>
      </w:r>
      <w:proofErr w:type="spellEnd"/>
      <w:r w:rsidR="00687739" w:rsidRPr="0046164E">
        <w:rPr>
          <w:rFonts w:ascii="Garamond" w:hAnsi="Garamond"/>
        </w:rPr>
        <w:t>,</w:t>
      </w:r>
      <w:r w:rsidR="00687739" w:rsidRPr="0046164E">
        <w:rPr>
          <w:rFonts w:ascii="Garamond" w:hAnsi="Garamond"/>
          <w:i/>
        </w:rPr>
        <w:t xml:space="preserve"> </w:t>
      </w:r>
      <w:r w:rsidR="00963F5D">
        <w:rPr>
          <w:rFonts w:ascii="Garamond" w:hAnsi="Garamond"/>
          <w:i/>
        </w:rPr>
        <w:t>k</w:t>
      </w:r>
      <w:r w:rsidR="00687739" w:rsidRPr="0046164E">
        <w:rPr>
          <w:rFonts w:ascii="Garamond" w:hAnsi="Garamond"/>
          <w:i/>
        </w:rPr>
        <w:t>ryetar,</w:t>
      </w:r>
    </w:p>
    <w:p w14:paraId="73C209D2" w14:textId="0487823E" w:rsidR="00B072CB" w:rsidRPr="0046164E" w:rsidRDefault="007E11F7" w:rsidP="0046164E">
      <w:pPr>
        <w:pStyle w:val="JuJudges"/>
        <w:ind w:firstLine="284"/>
        <w:rPr>
          <w:rFonts w:ascii="Garamond" w:hAnsi="Garamond"/>
        </w:rPr>
      </w:pPr>
      <w:proofErr w:type="spellStart"/>
      <w:r w:rsidRPr="0046164E">
        <w:rPr>
          <w:rFonts w:ascii="Garamond" w:hAnsi="Garamond"/>
        </w:rPr>
        <w:t>Darian</w:t>
      </w:r>
      <w:proofErr w:type="spellEnd"/>
      <w:r w:rsidRPr="0046164E">
        <w:rPr>
          <w:rFonts w:ascii="Garamond" w:hAnsi="Garamond"/>
        </w:rPr>
        <w:t xml:space="preserve"> </w:t>
      </w:r>
      <w:proofErr w:type="spellStart"/>
      <w:r w:rsidRPr="0046164E">
        <w:rPr>
          <w:rFonts w:ascii="Garamond" w:hAnsi="Garamond"/>
        </w:rPr>
        <w:t>Pavli</w:t>
      </w:r>
      <w:proofErr w:type="spellEnd"/>
      <w:r w:rsidR="00B072CB" w:rsidRPr="0046164E">
        <w:rPr>
          <w:rFonts w:ascii="Garamond" w:hAnsi="Garamond"/>
        </w:rPr>
        <w:t xml:space="preserve">, </w:t>
      </w:r>
    </w:p>
    <w:p w14:paraId="5A1A6C0F" w14:textId="71588C56" w:rsidR="00687739" w:rsidRPr="0046164E" w:rsidRDefault="00A02FBD" w:rsidP="0046164E">
      <w:pPr>
        <w:pStyle w:val="JuJudges"/>
        <w:ind w:firstLine="284"/>
        <w:rPr>
          <w:rFonts w:ascii="Garamond" w:hAnsi="Garamond"/>
          <w:i/>
        </w:rPr>
      </w:pPr>
      <w:r w:rsidRPr="0046164E">
        <w:rPr>
          <w:rFonts w:ascii="Garamond" w:hAnsi="Garamond"/>
        </w:rPr>
        <w:t>Oddn</w:t>
      </w:r>
      <w:r w:rsidRPr="0046164E">
        <w:rPr>
          <w:rFonts w:ascii="Garamond" w:hAnsi="Garamond" w:cstheme="minorHAnsi"/>
        </w:rPr>
        <w:t>ý Mjöll Arnardóttir</w:t>
      </w:r>
      <w:r w:rsidR="00597374" w:rsidRPr="0046164E">
        <w:rPr>
          <w:rFonts w:ascii="Garamond" w:hAnsi="Garamond"/>
          <w:i/>
        </w:rPr>
        <w:t xml:space="preserve">, </w:t>
      </w:r>
      <w:r w:rsidR="00687739" w:rsidRPr="0046164E">
        <w:rPr>
          <w:rFonts w:ascii="Garamond" w:hAnsi="Garamond"/>
          <w:i/>
        </w:rPr>
        <w:t>gjyqtarë,</w:t>
      </w:r>
      <w:r w:rsidR="00687739" w:rsidRPr="0046164E">
        <w:rPr>
          <w:rFonts w:ascii="Garamond" w:hAnsi="Garamond"/>
        </w:rPr>
        <w:br/>
        <w:t xml:space="preserve">dhe </w:t>
      </w:r>
      <w:proofErr w:type="spellStart"/>
      <w:r w:rsidRPr="0046164E">
        <w:rPr>
          <w:rFonts w:ascii="Garamond" w:hAnsi="Garamond"/>
        </w:rPr>
        <w:t>Viktoriya</w:t>
      </w:r>
      <w:proofErr w:type="spellEnd"/>
      <w:r w:rsidRPr="0046164E">
        <w:rPr>
          <w:rFonts w:ascii="Garamond" w:hAnsi="Garamond"/>
        </w:rPr>
        <w:t xml:space="preserve"> </w:t>
      </w:r>
      <w:proofErr w:type="spellStart"/>
      <w:r w:rsidRPr="0046164E">
        <w:rPr>
          <w:rFonts w:ascii="Garamond" w:hAnsi="Garamond"/>
        </w:rPr>
        <w:t>Maradudina</w:t>
      </w:r>
      <w:proofErr w:type="spellEnd"/>
      <w:r w:rsidR="00687739" w:rsidRPr="0046164E">
        <w:rPr>
          <w:rFonts w:ascii="Garamond" w:hAnsi="Garamond"/>
        </w:rPr>
        <w:t xml:space="preserve">, </w:t>
      </w:r>
      <w:proofErr w:type="spellStart"/>
      <w:r w:rsidR="00963F5D">
        <w:rPr>
          <w:rFonts w:ascii="Garamond" w:hAnsi="Garamond"/>
          <w:i/>
        </w:rPr>
        <w:t>z</w:t>
      </w:r>
      <w:r w:rsidR="001F179F" w:rsidRPr="0046164E">
        <w:rPr>
          <w:rFonts w:ascii="Garamond" w:hAnsi="Garamond"/>
          <w:i/>
        </w:rPr>
        <w:t>ë</w:t>
      </w:r>
      <w:r w:rsidRPr="0046164E">
        <w:rPr>
          <w:rFonts w:ascii="Garamond" w:hAnsi="Garamond"/>
          <w:i/>
        </w:rPr>
        <w:t>vend</w:t>
      </w:r>
      <w:r w:rsidR="001F179F" w:rsidRPr="0046164E">
        <w:rPr>
          <w:rFonts w:ascii="Garamond" w:hAnsi="Garamond"/>
          <w:i/>
        </w:rPr>
        <w:t>ë</w:t>
      </w:r>
      <w:r w:rsidRPr="0046164E">
        <w:rPr>
          <w:rFonts w:ascii="Garamond" w:hAnsi="Garamond"/>
          <w:i/>
        </w:rPr>
        <w:t>sregjistrare</w:t>
      </w:r>
      <w:proofErr w:type="spellEnd"/>
      <w:r w:rsidRPr="0046164E">
        <w:rPr>
          <w:rFonts w:ascii="Garamond" w:hAnsi="Garamond"/>
          <w:i/>
        </w:rPr>
        <w:t xml:space="preserve"> e </w:t>
      </w:r>
      <w:r w:rsidR="00963F5D">
        <w:rPr>
          <w:rFonts w:ascii="Garamond" w:hAnsi="Garamond"/>
          <w:i/>
        </w:rPr>
        <w:t>p</w:t>
      </w:r>
      <w:r w:rsidR="001F179F" w:rsidRPr="0046164E">
        <w:rPr>
          <w:rFonts w:ascii="Garamond" w:hAnsi="Garamond"/>
          <w:i/>
        </w:rPr>
        <w:t>ë</w:t>
      </w:r>
      <w:r w:rsidRPr="0046164E">
        <w:rPr>
          <w:rFonts w:ascii="Garamond" w:hAnsi="Garamond"/>
          <w:i/>
        </w:rPr>
        <w:t xml:space="preserve">rkohshme e </w:t>
      </w:r>
      <w:r w:rsidR="00687739" w:rsidRPr="0046164E">
        <w:rPr>
          <w:rFonts w:ascii="Garamond" w:hAnsi="Garamond"/>
          <w:i/>
        </w:rPr>
        <w:t xml:space="preserve">Seksionit, </w:t>
      </w:r>
      <w:r w:rsidR="00B072CB" w:rsidRPr="0046164E">
        <w:rPr>
          <w:rFonts w:ascii="Garamond" w:hAnsi="Garamond"/>
          <w:iCs/>
        </w:rPr>
        <w:t xml:space="preserve"> </w:t>
      </w:r>
    </w:p>
    <w:p w14:paraId="75F6DCC0" w14:textId="1E163EC8" w:rsidR="00B072CB" w:rsidRPr="0046164E" w:rsidRDefault="00687739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/>
        </w:rPr>
        <w:t>Pasi diskutoi</w:t>
      </w:r>
      <w:r w:rsidR="00B072CB" w:rsidRPr="0046164E">
        <w:rPr>
          <w:rFonts w:ascii="Garamond" w:hAnsi="Garamond"/>
        </w:rPr>
        <w:t xml:space="preserve"> me dyer t</w:t>
      </w:r>
      <w:r w:rsidR="00FC640C" w:rsidRPr="0046164E">
        <w:rPr>
          <w:rFonts w:ascii="Garamond" w:hAnsi="Garamond"/>
        </w:rPr>
        <w:t>ë</w:t>
      </w:r>
      <w:r w:rsidR="00B072CB" w:rsidRPr="0046164E">
        <w:rPr>
          <w:rFonts w:ascii="Garamond" w:hAnsi="Garamond"/>
        </w:rPr>
        <w:t xml:space="preserve"> mbyllura m</w:t>
      </w:r>
      <w:r w:rsidR="00FC640C" w:rsidRPr="0046164E">
        <w:rPr>
          <w:rFonts w:ascii="Garamond" w:hAnsi="Garamond"/>
        </w:rPr>
        <w:t>ë</w:t>
      </w:r>
      <w:r w:rsidR="00B072CB" w:rsidRPr="0046164E">
        <w:rPr>
          <w:rFonts w:ascii="Garamond" w:hAnsi="Garamond"/>
        </w:rPr>
        <w:t xml:space="preserve"> </w:t>
      </w:r>
      <w:r w:rsidR="00A02FBD" w:rsidRPr="0046164E">
        <w:rPr>
          <w:rFonts w:ascii="Garamond" w:hAnsi="Garamond"/>
        </w:rPr>
        <w:t xml:space="preserve">1 </w:t>
      </w:r>
      <w:r w:rsidR="00963F5D">
        <w:rPr>
          <w:rFonts w:ascii="Garamond" w:hAnsi="Garamond"/>
        </w:rPr>
        <w:t>q</w:t>
      </w:r>
      <w:r w:rsidR="00A02FBD" w:rsidRPr="0046164E">
        <w:rPr>
          <w:rFonts w:ascii="Garamond" w:hAnsi="Garamond"/>
        </w:rPr>
        <w:t>ershor 2023</w:t>
      </w:r>
      <w:r w:rsidR="00B072CB" w:rsidRPr="0046164E">
        <w:rPr>
          <w:rFonts w:ascii="Garamond" w:hAnsi="Garamond"/>
        </w:rPr>
        <w:t xml:space="preserve">; </w:t>
      </w:r>
    </w:p>
    <w:p w14:paraId="42B0524B" w14:textId="329B7541" w:rsidR="00687739" w:rsidRPr="0046164E" w:rsidRDefault="00D46264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/>
        </w:rPr>
        <w:t>Shpall vendimin e m</w:t>
      </w:r>
      <w:r w:rsidR="00FC640C" w:rsidRPr="0046164E">
        <w:rPr>
          <w:rFonts w:ascii="Garamond" w:hAnsi="Garamond"/>
        </w:rPr>
        <w:t>ë</w:t>
      </w:r>
      <w:r w:rsidRPr="0046164E">
        <w:rPr>
          <w:rFonts w:ascii="Garamond" w:hAnsi="Garamond"/>
        </w:rPr>
        <w:t>posht</w:t>
      </w:r>
      <w:r w:rsidR="00FC640C" w:rsidRPr="0046164E">
        <w:rPr>
          <w:rFonts w:ascii="Garamond" w:hAnsi="Garamond"/>
        </w:rPr>
        <w:t>ë</w:t>
      </w:r>
      <w:r w:rsidRPr="0046164E">
        <w:rPr>
          <w:rFonts w:ascii="Garamond" w:hAnsi="Garamond"/>
        </w:rPr>
        <w:t>m</w:t>
      </w:r>
      <w:r w:rsidR="00687739" w:rsidRPr="0046164E">
        <w:rPr>
          <w:rFonts w:ascii="Garamond" w:hAnsi="Garamond"/>
        </w:rPr>
        <w:t xml:space="preserve">, </w:t>
      </w:r>
      <w:r w:rsidRPr="0046164E">
        <w:rPr>
          <w:rFonts w:ascii="Garamond" w:hAnsi="Garamond"/>
        </w:rPr>
        <w:t>i cili u miratua n</w:t>
      </w:r>
      <w:r w:rsidR="00FC640C" w:rsidRPr="0046164E">
        <w:rPr>
          <w:rFonts w:ascii="Garamond" w:hAnsi="Garamond"/>
        </w:rPr>
        <w:t>ë</w:t>
      </w:r>
      <w:r w:rsidRPr="0046164E">
        <w:rPr>
          <w:rFonts w:ascii="Garamond" w:hAnsi="Garamond"/>
        </w:rPr>
        <w:t xml:space="preserve"> po at</w:t>
      </w:r>
      <w:r w:rsidR="00FC640C" w:rsidRPr="0046164E">
        <w:rPr>
          <w:rFonts w:ascii="Garamond" w:hAnsi="Garamond"/>
        </w:rPr>
        <w:t>ë</w:t>
      </w:r>
      <w:r w:rsidRPr="0046164E">
        <w:rPr>
          <w:rFonts w:ascii="Garamond" w:hAnsi="Garamond"/>
        </w:rPr>
        <w:t xml:space="preserve"> dat</w:t>
      </w:r>
      <w:r w:rsidR="00FC640C" w:rsidRPr="0046164E">
        <w:rPr>
          <w:rFonts w:ascii="Garamond" w:hAnsi="Garamond"/>
        </w:rPr>
        <w:t>ë</w:t>
      </w:r>
      <w:r w:rsidR="00687739" w:rsidRPr="0046164E">
        <w:rPr>
          <w:rFonts w:ascii="Garamond" w:hAnsi="Garamond"/>
        </w:rPr>
        <w:t xml:space="preserve">: </w:t>
      </w:r>
    </w:p>
    <w:bookmarkEnd w:id="0"/>
    <w:p w14:paraId="736D0574" w14:textId="38772D93" w:rsidR="00A02FBD" w:rsidRPr="0046164E" w:rsidRDefault="00A02FBD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/>
        </w:rPr>
        <w:t>PROCEDURA DHE FAKTET</w:t>
      </w:r>
    </w:p>
    <w:p w14:paraId="009442A9" w14:textId="120630E3" w:rsidR="00A02FBD" w:rsidRPr="0046164E" w:rsidRDefault="0046164E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/>
        </w:rPr>
        <w:t xml:space="preserve">1. </w:t>
      </w:r>
      <w:r w:rsidR="00A02FBD" w:rsidRPr="0046164E">
        <w:rPr>
          <w:rFonts w:ascii="Garamond" w:hAnsi="Garamond"/>
        </w:rPr>
        <w:t>Ç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>shtja nisi me dy k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>rkesa kund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>r Shqip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>ris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 xml:space="preserve"> depozituar n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 xml:space="preserve"> Gjykat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 xml:space="preserve"> sipas </w:t>
      </w:r>
      <w:r w:rsidR="002F2567">
        <w:rPr>
          <w:rFonts w:ascii="Garamond" w:hAnsi="Garamond"/>
        </w:rPr>
        <w:t>n</w:t>
      </w:r>
      <w:r w:rsidR="00A02FBD" w:rsidRPr="0046164E">
        <w:rPr>
          <w:rFonts w:ascii="Garamond" w:hAnsi="Garamond"/>
        </w:rPr>
        <w:t>enit 34 t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 xml:space="preserve"> Konvent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>s p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>r Mbrojtjen e t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 xml:space="preserve"> Drejtave t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 xml:space="preserve"> Njeriut dhe Lirive Themelore (“Konventa”) n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 xml:space="preserve"> data t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 xml:space="preserve"> ndryshme q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 xml:space="preserve"> paraqiten n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 xml:space="preserve"> tabel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>n bashk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>lidhur.</w:t>
      </w:r>
    </w:p>
    <w:p w14:paraId="49C3A8E9" w14:textId="4D07AB03" w:rsidR="00A02FBD" w:rsidRPr="0046164E" w:rsidRDefault="0046164E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/>
        </w:rPr>
        <w:t xml:space="preserve">2. </w:t>
      </w:r>
      <w:r w:rsidR="00A02FBD" w:rsidRPr="0046164E">
        <w:rPr>
          <w:rFonts w:ascii="Garamond" w:hAnsi="Garamond"/>
        </w:rPr>
        <w:t>Lista e k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>rkuesve dhe detajet p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>rkat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>se t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 xml:space="preserve"> k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>rkesave paraqiten n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 xml:space="preserve"> tabel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>n bashk</w:t>
      </w:r>
      <w:r w:rsidR="001F179F" w:rsidRPr="0046164E">
        <w:rPr>
          <w:rFonts w:ascii="Garamond" w:hAnsi="Garamond"/>
        </w:rPr>
        <w:t>ë</w:t>
      </w:r>
      <w:r w:rsidR="00A02FBD" w:rsidRPr="0046164E">
        <w:rPr>
          <w:rFonts w:ascii="Garamond" w:hAnsi="Garamond"/>
        </w:rPr>
        <w:t xml:space="preserve">lidhur. </w:t>
      </w:r>
    </w:p>
    <w:p w14:paraId="7BAED0DE" w14:textId="7F760554" w:rsidR="00A02FBD" w:rsidRPr="0046164E" w:rsidRDefault="0046164E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/>
        </w:rPr>
        <w:t xml:space="preserve">3. </w:t>
      </w:r>
      <w:r w:rsidR="00A02FBD" w:rsidRPr="0046164E">
        <w:rPr>
          <w:rFonts w:ascii="Garamond" w:hAnsi="Garamond"/>
        </w:rPr>
        <w:t>Qeveria shqiptare (“Qeveria”)</w:t>
      </w:r>
      <w:r w:rsidR="00F66F74" w:rsidRPr="0046164E">
        <w:rPr>
          <w:rFonts w:ascii="Garamond" w:hAnsi="Garamond"/>
        </w:rPr>
        <w:t xml:space="preserve"> u vu n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dijeni t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ankesave n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lidhje me koh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>zgjatjen e tep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>rt t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proceseve civile sipas </w:t>
      </w:r>
      <w:r w:rsidR="002F2567" w:rsidRPr="0046164E">
        <w:rPr>
          <w:rFonts w:ascii="Garamond" w:hAnsi="Garamond"/>
        </w:rPr>
        <w:t xml:space="preserve">nenit </w:t>
      </w:r>
      <w:r w:rsidR="00F66F74" w:rsidRPr="0046164E">
        <w:rPr>
          <w:rFonts w:ascii="Garamond" w:hAnsi="Garamond"/>
        </w:rPr>
        <w:t>6 t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Konvent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>s. N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mb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>shtetje t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</w:t>
      </w:r>
      <w:r w:rsidR="002F2567" w:rsidRPr="0046164E">
        <w:rPr>
          <w:rFonts w:ascii="Garamond" w:hAnsi="Garamond"/>
        </w:rPr>
        <w:t xml:space="preserve">nenit </w:t>
      </w:r>
      <w:r w:rsidR="00F66F74" w:rsidRPr="0046164E">
        <w:rPr>
          <w:rFonts w:ascii="Garamond" w:hAnsi="Garamond"/>
        </w:rPr>
        <w:t>13 t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Konvent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>s, n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</w:t>
      </w:r>
      <w:r w:rsidR="001F179F" w:rsidRPr="0046164E">
        <w:rPr>
          <w:rFonts w:ascii="Garamond" w:hAnsi="Garamond"/>
        </w:rPr>
        <w:t>çë</w:t>
      </w:r>
      <w:r w:rsidR="00F66F74" w:rsidRPr="0046164E">
        <w:rPr>
          <w:rFonts w:ascii="Garamond" w:hAnsi="Garamond"/>
        </w:rPr>
        <w:t>shtjen nr. 53157/15, u komunikua nj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ankes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shtes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p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>r munges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>n e mjeteve p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r adresimin </w:t>
      </w:r>
      <w:r w:rsidR="001F179F" w:rsidRPr="0046164E">
        <w:rPr>
          <w:rFonts w:ascii="Garamond" w:hAnsi="Garamond"/>
        </w:rPr>
        <w:t xml:space="preserve">çështjes së </w:t>
      </w:r>
      <w:r w:rsidR="00F66F74" w:rsidRPr="0046164E">
        <w:rPr>
          <w:rFonts w:ascii="Garamond" w:hAnsi="Garamond"/>
        </w:rPr>
        <w:t>koh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>zgjatjes s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proceseve. </w:t>
      </w:r>
    </w:p>
    <w:p w14:paraId="20FB28B5" w14:textId="31911B2B" w:rsidR="00F66F74" w:rsidRPr="0046164E" w:rsidRDefault="00F66F74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/>
        </w:rPr>
        <w:t xml:space="preserve">LIGJI </w:t>
      </w:r>
    </w:p>
    <w:p w14:paraId="0D60B18F" w14:textId="3810304E" w:rsidR="00F66F74" w:rsidRPr="0046164E" w:rsidRDefault="0046164E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/>
        </w:rPr>
        <w:t xml:space="preserve">I. </w:t>
      </w:r>
      <w:r w:rsidR="00F66F74" w:rsidRPr="0046164E">
        <w:rPr>
          <w:rFonts w:ascii="Garamond" w:hAnsi="Garamond"/>
        </w:rPr>
        <w:t>BASHKIMI I K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>RKESAVE</w:t>
      </w:r>
    </w:p>
    <w:p w14:paraId="2C8B2188" w14:textId="7F34E0AC" w:rsidR="00F66F74" w:rsidRPr="0046164E" w:rsidRDefault="0046164E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/>
        </w:rPr>
        <w:t xml:space="preserve">4. </w:t>
      </w:r>
      <w:r w:rsidR="00F66F74" w:rsidRPr="0046164E">
        <w:rPr>
          <w:rFonts w:ascii="Garamond" w:hAnsi="Garamond"/>
        </w:rPr>
        <w:t>Duke pasur n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</w:t>
      </w:r>
      <w:r w:rsidR="001F179F" w:rsidRPr="0046164E">
        <w:rPr>
          <w:rFonts w:ascii="Garamond" w:hAnsi="Garamond"/>
        </w:rPr>
        <w:t>konsideratë</w:t>
      </w:r>
      <w:r w:rsidR="00F66F74" w:rsidRPr="0046164E">
        <w:rPr>
          <w:rFonts w:ascii="Garamond" w:hAnsi="Garamond"/>
        </w:rPr>
        <w:t xml:space="preserve"> l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>nd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>n e ngjashme t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</w:t>
      </w:r>
      <w:r w:rsidR="001F179F" w:rsidRPr="0046164E">
        <w:rPr>
          <w:rFonts w:ascii="Garamond" w:hAnsi="Garamond"/>
        </w:rPr>
        <w:t>kërkesave</w:t>
      </w:r>
      <w:r w:rsidR="00F66F74" w:rsidRPr="0046164E">
        <w:rPr>
          <w:rFonts w:ascii="Garamond" w:hAnsi="Garamond"/>
        </w:rPr>
        <w:t>, Gjykata e mendon t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arsyeshme q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t’i shqyrtoj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ato n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nj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gjykim t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vet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m. </w:t>
      </w:r>
    </w:p>
    <w:p w14:paraId="68792A49" w14:textId="5D0578C5" w:rsidR="00F66F74" w:rsidRPr="0046164E" w:rsidRDefault="0046164E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/>
        </w:rPr>
        <w:t xml:space="preserve">II. </w:t>
      </w:r>
      <w:r w:rsidR="00F66F74" w:rsidRPr="0046164E">
        <w:rPr>
          <w:rFonts w:ascii="Garamond" w:hAnsi="Garamond"/>
        </w:rPr>
        <w:t>PRETENDIM P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>R SHKELJE T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NENIT 6 </w:t>
      </w:r>
      <w:r w:rsidR="00F66F74" w:rsidRPr="0046164E">
        <w:rPr>
          <w:rFonts w:ascii="Garamond" w:hAnsi="Garamond" w:cstheme="minorHAnsi"/>
        </w:rPr>
        <w:t>§ 1 T</w:t>
      </w:r>
      <w:r w:rsidR="001F179F" w:rsidRPr="0046164E">
        <w:rPr>
          <w:rFonts w:ascii="Garamond" w:hAnsi="Garamond" w:cstheme="minorHAnsi"/>
        </w:rPr>
        <w:t>Ë</w:t>
      </w:r>
      <w:r w:rsidR="00F66F74" w:rsidRPr="0046164E">
        <w:rPr>
          <w:rFonts w:ascii="Garamond" w:hAnsi="Garamond" w:cstheme="minorHAnsi"/>
        </w:rPr>
        <w:t xml:space="preserve"> KONVENT</w:t>
      </w:r>
      <w:r w:rsidR="001F179F" w:rsidRPr="0046164E">
        <w:rPr>
          <w:rFonts w:ascii="Garamond" w:hAnsi="Garamond" w:cstheme="minorHAnsi"/>
        </w:rPr>
        <w:t>Ë</w:t>
      </w:r>
      <w:r w:rsidR="00F66F74" w:rsidRPr="0046164E">
        <w:rPr>
          <w:rFonts w:ascii="Garamond" w:hAnsi="Garamond" w:cstheme="minorHAnsi"/>
        </w:rPr>
        <w:t>S</w:t>
      </w:r>
    </w:p>
    <w:p w14:paraId="35F967CF" w14:textId="73B75D9C" w:rsidR="00F66F74" w:rsidRPr="0046164E" w:rsidRDefault="0046164E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/>
        </w:rPr>
        <w:t xml:space="preserve">5. </w:t>
      </w:r>
      <w:r w:rsidR="00F66F74" w:rsidRPr="0046164E">
        <w:rPr>
          <w:rFonts w:ascii="Garamond" w:hAnsi="Garamond"/>
        </w:rPr>
        <w:t>K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>rkuesit u ankuan se koh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>zgjatja e procedurave civile n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fjal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nuk respektonte k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>rkes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>n p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>r “afat t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 arsyesh</w:t>
      </w:r>
      <w:r w:rsidR="001F179F" w:rsidRPr="0046164E">
        <w:rPr>
          <w:rFonts w:ascii="Garamond" w:hAnsi="Garamond"/>
        </w:rPr>
        <w:t>ë</w:t>
      </w:r>
      <w:r w:rsidR="00F66F74" w:rsidRPr="0046164E">
        <w:rPr>
          <w:rFonts w:ascii="Garamond" w:hAnsi="Garamond"/>
        </w:rPr>
        <w:t xml:space="preserve">m”. Ata iu referuan </w:t>
      </w:r>
      <w:r w:rsidR="002F2567" w:rsidRPr="0046164E">
        <w:rPr>
          <w:rFonts w:ascii="Garamond" w:hAnsi="Garamond"/>
        </w:rPr>
        <w:t xml:space="preserve">nenit </w:t>
      </w:r>
      <w:r w:rsidR="00F66F74" w:rsidRPr="0046164E">
        <w:rPr>
          <w:rFonts w:ascii="Garamond" w:hAnsi="Garamond"/>
        </w:rPr>
        <w:t xml:space="preserve">6 </w:t>
      </w:r>
      <w:r w:rsidR="00F66F74" w:rsidRPr="0046164E">
        <w:rPr>
          <w:rFonts w:ascii="Garamond" w:hAnsi="Garamond" w:cstheme="minorHAnsi"/>
        </w:rPr>
        <w:t>§ 1 t</w:t>
      </w:r>
      <w:r w:rsidR="001F179F" w:rsidRPr="0046164E">
        <w:rPr>
          <w:rFonts w:ascii="Garamond" w:hAnsi="Garamond" w:cstheme="minorHAnsi"/>
        </w:rPr>
        <w:t>ë</w:t>
      </w:r>
      <w:r w:rsidR="00F66F74" w:rsidRPr="0046164E">
        <w:rPr>
          <w:rFonts w:ascii="Garamond" w:hAnsi="Garamond" w:cstheme="minorHAnsi"/>
        </w:rPr>
        <w:t xml:space="preserve"> Konvent</w:t>
      </w:r>
      <w:r w:rsidR="001F179F" w:rsidRPr="0046164E">
        <w:rPr>
          <w:rFonts w:ascii="Garamond" w:hAnsi="Garamond" w:cstheme="minorHAnsi"/>
        </w:rPr>
        <w:t>ë</w:t>
      </w:r>
      <w:r w:rsidR="00F66F74" w:rsidRPr="0046164E">
        <w:rPr>
          <w:rFonts w:ascii="Garamond" w:hAnsi="Garamond" w:cstheme="minorHAnsi"/>
        </w:rPr>
        <w:t xml:space="preserve">s. </w:t>
      </w:r>
    </w:p>
    <w:p w14:paraId="6E5F9D22" w14:textId="5BACD876" w:rsidR="00F66F74" w:rsidRPr="0046164E" w:rsidRDefault="0046164E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 w:cstheme="minorHAnsi"/>
        </w:rPr>
        <w:t xml:space="preserve">6. </w:t>
      </w:r>
      <w:r w:rsidR="00F66F74" w:rsidRPr="0046164E">
        <w:rPr>
          <w:rFonts w:ascii="Garamond" w:hAnsi="Garamond" w:cstheme="minorHAnsi"/>
        </w:rPr>
        <w:t>Gjykata thekson se arsyeshm</w:t>
      </w:r>
      <w:r w:rsidR="001F179F" w:rsidRPr="0046164E">
        <w:rPr>
          <w:rFonts w:ascii="Garamond" w:hAnsi="Garamond" w:cstheme="minorHAnsi"/>
        </w:rPr>
        <w:t>ë</w:t>
      </w:r>
      <w:r w:rsidR="00F66F74" w:rsidRPr="0046164E">
        <w:rPr>
          <w:rFonts w:ascii="Garamond" w:hAnsi="Garamond" w:cstheme="minorHAnsi"/>
        </w:rPr>
        <w:t>ria e koh</w:t>
      </w:r>
      <w:r w:rsidR="001F179F" w:rsidRPr="0046164E">
        <w:rPr>
          <w:rFonts w:ascii="Garamond" w:hAnsi="Garamond" w:cstheme="minorHAnsi"/>
        </w:rPr>
        <w:t>ë</w:t>
      </w:r>
      <w:r w:rsidR="00F66F74" w:rsidRPr="0046164E">
        <w:rPr>
          <w:rFonts w:ascii="Garamond" w:hAnsi="Garamond" w:cstheme="minorHAnsi"/>
        </w:rPr>
        <w:t>zgjatjes s</w:t>
      </w:r>
      <w:r w:rsidR="001F179F" w:rsidRPr="0046164E">
        <w:rPr>
          <w:rFonts w:ascii="Garamond" w:hAnsi="Garamond" w:cstheme="minorHAnsi"/>
        </w:rPr>
        <w:t>ë</w:t>
      </w:r>
      <w:r w:rsidR="00F66F74" w:rsidRPr="0046164E">
        <w:rPr>
          <w:rFonts w:ascii="Garamond" w:hAnsi="Garamond" w:cstheme="minorHAnsi"/>
        </w:rPr>
        <w:t xml:space="preserve"> procedurave duhet t</w:t>
      </w:r>
      <w:r w:rsidR="001F179F" w:rsidRPr="0046164E">
        <w:rPr>
          <w:rFonts w:ascii="Garamond" w:hAnsi="Garamond" w:cstheme="minorHAnsi"/>
        </w:rPr>
        <w:t>ë</w:t>
      </w:r>
      <w:r w:rsidR="00F66F74" w:rsidRPr="0046164E">
        <w:rPr>
          <w:rFonts w:ascii="Garamond" w:hAnsi="Garamond" w:cstheme="minorHAnsi"/>
        </w:rPr>
        <w:t xml:space="preserve"> vler</w:t>
      </w:r>
      <w:r w:rsidR="001F179F" w:rsidRPr="0046164E">
        <w:rPr>
          <w:rFonts w:ascii="Garamond" w:hAnsi="Garamond" w:cstheme="minorHAnsi"/>
        </w:rPr>
        <w:t>ë</w:t>
      </w:r>
      <w:r w:rsidR="00F66F74" w:rsidRPr="0046164E">
        <w:rPr>
          <w:rFonts w:ascii="Garamond" w:hAnsi="Garamond" w:cstheme="minorHAnsi"/>
        </w:rPr>
        <w:t>sohet sipas rrethanave t</w:t>
      </w:r>
      <w:r w:rsidR="001F179F" w:rsidRPr="0046164E">
        <w:rPr>
          <w:rFonts w:ascii="Garamond" w:hAnsi="Garamond" w:cstheme="minorHAnsi"/>
        </w:rPr>
        <w:t>ë</w:t>
      </w:r>
      <w:r w:rsidR="00F66F74" w:rsidRPr="0046164E">
        <w:rPr>
          <w:rFonts w:ascii="Garamond" w:hAnsi="Garamond" w:cstheme="minorHAnsi"/>
        </w:rPr>
        <w:t xml:space="preserve"> </w:t>
      </w:r>
      <w:r w:rsidR="001F179F" w:rsidRPr="0046164E">
        <w:rPr>
          <w:rFonts w:ascii="Garamond" w:hAnsi="Garamond" w:cstheme="minorHAnsi"/>
        </w:rPr>
        <w:t>çë</w:t>
      </w:r>
      <w:r w:rsidR="00F66F74" w:rsidRPr="0046164E">
        <w:rPr>
          <w:rFonts w:ascii="Garamond" w:hAnsi="Garamond" w:cstheme="minorHAnsi"/>
        </w:rPr>
        <w:t>shtjes dhe duke iu referuar kritereve t</w:t>
      </w:r>
      <w:r w:rsidR="001F179F" w:rsidRPr="0046164E">
        <w:rPr>
          <w:rFonts w:ascii="Garamond" w:hAnsi="Garamond" w:cstheme="minorHAnsi"/>
        </w:rPr>
        <w:t>ë</w:t>
      </w:r>
      <w:r w:rsidR="00F66F74" w:rsidRPr="0046164E">
        <w:rPr>
          <w:rFonts w:ascii="Garamond" w:hAnsi="Garamond" w:cstheme="minorHAnsi"/>
        </w:rPr>
        <w:t xml:space="preserve"> m</w:t>
      </w:r>
      <w:r w:rsidR="001F179F" w:rsidRPr="0046164E">
        <w:rPr>
          <w:rFonts w:ascii="Garamond" w:hAnsi="Garamond" w:cstheme="minorHAnsi"/>
        </w:rPr>
        <w:t>ë</w:t>
      </w:r>
      <w:r w:rsidR="00F66F74" w:rsidRPr="0046164E">
        <w:rPr>
          <w:rFonts w:ascii="Garamond" w:hAnsi="Garamond" w:cstheme="minorHAnsi"/>
        </w:rPr>
        <w:t xml:space="preserve">poshtme: kompleksiteti i </w:t>
      </w:r>
      <w:r w:rsidR="001F179F" w:rsidRPr="0046164E">
        <w:rPr>
          <w:rFonts w:ascii="Garamond" w:hAnsi="Garamond" w:cstheme="minorHAnsi"/>
        </w:rPr>
        <w:t>çë</w:t>
      </w:r>
      <w:r w:rsidR="00F66F74" w:rsidRPr="0046164E">
        <w:rPr>
          <w:rFonts w:ascii="Garamond" w:hAnsi="Garamond" w:cstheme="minorHAnsi"/>
        </w:rPr>
        <w:t>shtjes, reagimi i k</w:t>
      </w:r>
      <w:r w:rsidR="001F179F" w:rsidRPr="0046164E">
        <w:rPr>
          <w:rFonts w:ascii="Garamond" w:hAnsi="Garamond" w:cstheme="minorHAnsi"/>
        </w:rPr>
        <w:t>ë</w:t>
      </w:r>
      <w:r w:rsidR="00F66F74" w:rsidRPr="0046164E">
        <w:rPr>
          <w:rFonts w:ascii="Garamond" w:hAnsi="Garamond" w:cstheme="minorHAnsi"/>
        </w:rPr>
        <w:t xml:space="preserve">rkuesve dhe </w:t>
      </w:r>
      <w:r w:rsidR="00A31673" w:rsidRPr="0046164E">
        <w:rPr>
          <w:rFonts w:ascii="Garamond" w:hAnsi="Garamond" w:cstheme="minorHAnsi"/>
        </w:rPr>
        <w:t>autoriteteve p</w:t>
      </w:r>
      <w:r w:rsidR="001F179F" w:rsidRPr="0046164E">
        <w:rPr>
          <w:rFonts w:ascii="Garamond" w:hAnsi="Garamond" w:cstheme="minorHAnsi"/>
        </w:rPr>
        <w:t>ë</w:t>
      </w:r>
      <w:r w:rsidR="00A31673" w:rsidRPr="0046164E">
        <w:rPr>
          <w:rFonts w:ascii="Garamond" w:hAnsi="Garamond" w:cstheme="minorHAnsi"/>
        </w:rPr>
        <w:t>rkat</w:t>
      </w:r>
      <w:r w:rsidR="001F179F" w:rsidRPr="0046164E">
        <w:rPr>
          <w:rFonts w:ascii="Garamond" w:hAnsi="Garamond" w:cstheme="minorHAnsi"/>
        </w:rPr>
        <w:t>ë</w:t>
      </w:r>
      <w:r w:rsidR="00A31673" w:rsidRPr="0046164E">
        <w:rPr>
          <w:rFonts w:ascii="Garamond" w:hAnsi="Garamond" w:cstheme="minorHAnsi"/>
        </w:rPr>
        <w:t xml:space="preserve">se dhe se </w:t>
      </w:r>
      <w:r w:rsidR="001F179F" w:rsidRPr="0046164E">
        <w:rPr>
          <w:rFonts w:ascii="Garamond" w:hAnsi="Garamond" w:cstheme="minorHAnsi"/>
        </w:rPr>
        <w:t>ç</w:t>
      </w:r>
      <w:r w:rsidR="00A31673" w:rsidRPr="0046164E">
        <w:rPr>
          <w:rFonts w:ascii="Garamond" w:hAnsi="Garamond" w:cstheme="minorHAnsi"/>
        </w:rPr>
        <w:t>far</w:t>
      </w:r>
      <w:r w:rsidR="001F179F" w:rsidRPr="0046164E">
        <w:rPr>
          <w:rFonts w:ascii="Garamond" w:hAnsi="Garamond" w:cstheme="minorHAnsi"/>
        </w:rPr>
        <w:t>ë</w:t>
      </w:r>
      <w:r w:rsidR="00A31673" w:rsidRPr="0046164E">
        <w:rPr>
          <w:rFonts w:ascii="Garamond" w:hAnsi="Garamond" w:cstheme="minorHAnsi"/>
        </w:rPr>
        <w:t xml:space="preserve"> ishte n</w:t>
      </w:r>
      <w:r w:rsidR="001F179F" w:rsidRPr="0046164E">
        <w:rPr>
          <w:rFonts w:ascii="Garamond" w:hAnsi="Garamond" w:cstheme="minorHAnsi"/>
        </w:rPr>
        <w:t>ë</w:t>
      </w:r>
      <w:r w:rsidR="00A31673" w:rsidRPr="0046164E">
        <w:rPr>
          <w:rFonts w:ascii="Garamond" w:hAnsi="Garamond" w:cstheme="minorHAnsi"/>
        </w:rPr>
        <w:t xml:space="preserve"> rrezik p</w:t>
      </w:r>
      <w:r w:rsidR="001F179F" w:rsidRPr="0046164E">
        <w:rPr>
          <w:rFonts w:ascii="Garamond" w:hAnsi="Garamond" w:cstheme="minorHAnsi"/>
        </w:rPr>
        <w:t>ë</w:t>
      </w:r>
      <w:r w:rsidR="00A31673" w:rsidRPr="0046164E">
        <w:rPr>
          <w:rFonts w:ascii="Garamond" w:hAnsi="Garamond" w:cstheme="minorHAnsi"/>
        </w:rPr>
        <w:t>r k</w:t>
      </w:r>
      <w:r w:rsidR="001F179F" w:rsidRPr="0046164E">
        <w:rPr>
          <w:rFonts w:ascii="Garamond" w:hAnsi="Garamond" w:cstheme="minorHAnsi"/>
        </w:rPr>
        <w:t>ë</w:t>
      </w:r>
      <w:r w:rsidR="00A31673" w:rsidRPr="0046164E">
        <w:rPr>
          <w:rFonts w:ascii="Garamond" w:hAnsi="Garamond" w:cstheme="minorHAnsi"/>
        </w:rPr>
        <w:t>rkuesit n</w:t>
      </w:r>
      <w:r w:rsidR="001F179F" w:rsidRPr="0046164E">
        <w:rPr>
          <w:rFonts w:ascii="Garamond" w:hAnsi="Garamond" w:cstheme="minorHAnsi"/>
        </w:rPr>
        <w:t>ë</w:t>
      </w:r>
      <w:r w:rsidR="00A31673" w:rsidRPr="0046164E">
        <w:rPr>
          <w:rFonts w:ascii="Garamond" w:hAnsi="Garamond" w:cstheme="minorHAnsi"/>
        </w:rPr>
        <w:t xml:space="preserve"> k</w:t>
      </w:r>
      <w:r w:rsidR="001F179F" w:rsidRPr="0046164E">
        <w:rPr>
          <w:rFonts w:ascii="Garamond" w:hAnsi="Garamond" w:cstheme="minorHAnsi"/>
        </w:rPr>
        <w:t>ë</w:t>
      </w:r>
      <w:r w:rsidR="00A31673" w:rsidRPr="0046164E">
        <w:rPr>
          <w:rFonts w:ascii="Garamond" w:hAnsi="Garamond" w:cstheme="minorHAnsi"/>
        </w:rPr>
        <w:t>t</w:t>
      </w:r>
      <w:r w:rsidR="001F179F" w:rsidRPr="0046164E">
        <w:rPr>
          <w:rFonts w:ascii="Garamond" w:hAnsi="Garamond" w:cstheme="minorHAnsi"/>
        </w:rPr>
        <w:t>ë</w:t>
      </w:r>
      <w:r w:rsidR="00A31673" w:rsidRPr="0046164E">
        <w:rPr>
          <w:rFonts w:ascii="Garamond" w:hAnsi="Garamond" w:cstheme="minorHAnsi"/>
        </w:rPr>
        <w:t xml:space="preserve"> mosmarr</w:t>
      </w:r>
      <w:r w:rsidR="001F179F" w:rsidRPr="0046164E">
        <w:rPr>
          <w:rFonts w:ascii="Garamond" w:hAnsi="Garamond" w:cstheme="minorHAnsi"/>
        </w:rPr>
        <w:t>ë</w:t>
      </w:r>
      <w:r w:rsidR="00A31673" w:rsidRPr="0046164E">
        <w:rPr>
          <w:rFonts w:ascii="Garamond" w:hAnsi="Garamond" w:cstheme="minorHAnsi"/>
        </w:rPr>
        <w:t xml:space="preserve">veshje (shih </w:t>
      </w:r>
      <w:r w:rsidR="00A31673" w:rsidRPr="0046164E">
        <w:rPr>
          <w:rFonts w:ascii="Garamond" w:hAnsi="Garamond" w:cstheme="minorHAnsi"/>
          <w:i/>
          <w:iCs/>
        </w:rPr>
        <w:t>Frydlender kund</w:t>
      </w:r>
      <w:r w:rsidR="001F179F" w:rsidRPr="0046164E">
        <w:rPr>
          <w:rFonts w:ascii="Garamond" w:hAnsi="Garamond" w:cstheme="minorHAnsi"/>
          <w:i/>
          <w:iCs/>
        </w:rPr>
        <w:t>ë</w:t>
      </w:r>
      <w:r w:rsidR="00A31673" w:rsidRPr="0046164E">
        <w:rPr>
          <w:rFonts w:ascii="Garamond" w:hAnsi="Garamond" w:cstheme="minorHAnsi"/>
          <w:i/>
          <w:iCs/>
        </w:rPr>
        <w:t>r Franc</w:t>
      </w:r>
      <w:r w:rsidR="001F179F" w:rsidRPr="0046164E">
        <w:rPr>
          <w:rFonts w:ascii="Garamond" w:hAnsi="Garamond" w:cstheme="minorHAnsi"/>
          <w:i/>
          <w:iCs/>
        </w:rPr>
        <w:t>ë</w:t>
      </w:r>
      <w:r w:rsidR="00A31673" w:rsidRPr="0046164E">
        <w:rPr>
          <w:rFonts w:ascii="Garamond" w:hAnsi="Garamond" w:cstheme="minorHAnsi"/>
          <w:i/>
          <w:iCs/>
        </w:rPr>
        <w:t>s</w:t>
      </w:r>
      <w:r w:rsidR="00A31673" w:rsidRPr="0046164E">
        <w:rPr>
          <w:rFonts w:ascii="Garamond" w:hAnsi="Garamond" w:cstheme="minorHAnsi"/>
        </w:rPr>
        <w:t xml:space="preserve"> [DHM], nr. 30979/96, §43, GJEDNJ 2000-VII; </w:t>
      </w:r>
      <w:r w:rsidR="00A31673" w:rsidRPr="0046164E">
        <w:rPr>
          <w:rFonts w:ascii="Garamond" w:hAnsi="Garamond" w:cstheme="minorHAnsi"/>
          <w:i/>
          <w:iCs/>
        </w:rPr>
        <w:t>Gazsó kund</w:t>
      </w:r>
      <w:r w:rsidR="001F179F" w:rsidRPr="0046164E">
        <w:rPr>
          <w:rFonts w:ascii="Garamond" w:hAnsi="Garamond" w:cstheme="minorHAnsi"/>
          <w:i/>
          <w:iCs/>
        </w:rPr>
        <w:t>ë</w:t>
      </w:r>
      <w:r w:rsidR="00A31673" w:rsidRPr="0046164E">
        <w:rPr>
          <w:rFonts w:ascii="Garamond" w:hAnsi="Garamond" w:cstheme="minorHAnsi"/>
          <w:i/>
          <w:iCs/>
        </w:rPr>
        <w:t>r Hungaris</w:t>
      </w:r>
      <w:r w:rsidR="001F179F" w:rsidRPr="0046164E">
        <w:rPr>
          <w:rFonts w:ascii="Garamond" w:hAnsi="Garamond" w:cstheme="minorHAnsi"/>
          <w:i/>
          <w:iCs/>
        </w:rPr>
        <w:t>ë</w:t>
      </w:r>
      <w:r w:rsidR="00A31673" w:rsidRPr="0046164E">
        <w:rPr>
          <w:rFonts w:ascii="Garamond" w:hAnsi="Garamond" w:cstheme="minorHAnsi"/>
        </w:rPr>
        <w:t xml:space="preserve">, nr. 48322/12, § 15, 16 </w:t>
      </w:r>
      <w:r w:rsidR="003C7FD8" w:rsidRPr="0046164E">
        <w:rPr>
          <w:rFonts w:ascii="Garamond" w:hAnsi="Garamond" w:cstheme="minorHAnsi"/>
        </w:rPr>
        <w:t xml:space="preserve">korrik </w:t>
      </w:r>
      <w:r w:rsidR="00A31673" w:rsidRPr="0046164E">
        <w:rPr>
          <w:rFonts w:ascii="Garamond" w:hAnsi="Garamond" w:cstheme="minorHAnsi"/>
        </w:rPr>
        <w:t xml:space="preserve">2015; dhe </w:t>
      </w:r>
      <w:proofErr w:type="spellStart"/>
      <w:r w:rsidR="00A31673" w:rsidRPr="0046164E">
        <w:rPr>
          <w:rFonts w:ascii="Garamond" w:hAnsi="Garamond" w:cstheme="minorHAnsi"/>
          <w:i/>
          <w:iCs/>
        </w:rPr>
        <w:t>Topallaj</w:t>
      </w:r>
      <w:proofErr w:type="spellEnd"/>
      <w:r w:rsidR="00A31673" w:rsidRPr="0046164E">
        <w:rPr>
          <w:rFonts w:ascii="Garamond" w:hAnsi="Garamond" w:cstheme="minorHAnsi"/>
          <w:i/>
          <w:iCs/>
        </w:rPr>
        <w:t xml:space="preserve"> kund</w:t>
      </w:r>
      <w:r w:rsidR="001F179F" w:rsidRPr="0046164E">
        <w:rPr>
          <w:rFonts w:ascii="Garamond" w:hAnsi="Garamond" w:cstheme="minorHAnsi"/>
          <w:i/>
          <w:iCs/>
        </w:rPr>
        <w:t>ë</w:t>
      </w:r>
      <w:r w:rsidR="00A31673" w:rsidRPr="0046164E">
        <w:rPr>
          <w:rFonts w:ascii="Garamond" w:hAnsi="Garamond" w:cstheme="minorHAnsi"/>
          <w:i/>
          <w:iCs/>
        </w:rPr>
        <w:t>r Shqip</w:t>
      </w:r>
      <w:r w:rsidR="001F179F" w:rsidRPr="0046164E">
        <w:rPr>
          <w:rFonts w:ascii="Garamond" w:hAnsi="Garamond" w:cstheme="minorHAnsi"/>
          <w:i/>
          <w:iCs/>
        </w:rPr>
        <w:t>ë</w:t>
      </w:r>
      <w:r w:rsidR="00A31673" w:rsidRPr="0046164E">
        <w:rPr>
          <w:rFonts w:ascii="Garamond" w:hAnsi="Garamond" w:cstheme="minorHAnsi"/>
          <w:i/>
          <w:iCs/>
        </w:rPr>
        <w:t>ris</w:t>
      </w:r>
      <w:r w:rsidR="001F179F" w:rsidRPr="0046164E">
        <w:rPr>
          <w:rFonts w:ascii="Garamond" w:hAnsi="Garamond" w:cstheme="minorHAnsi"/>
          <w:i/>
          <w:iCs/>
        </w:rPr>
        <w:t>ë</w:t>
      </w:r>
      <w:r w:rsidR="00A31673" w:rsidRPr="0046164E">
        <w:rPr>
          <w:rFonts w:ascii="Garamond" w:hAnsi="Garamond" w:cstheme="minorHAnsi"/>
        </w:rPr>
        <w:t xml:space="preserve">, nr. 32913/03, § 75 21 </w:t>
      </w:r>
      <w:r w:rsidR="003C7FD8" w:rsidRPr="0046164E">
        <w:rPr>
          <w:rFonts w:ascii="Garamond" w:hAnsi="Garamond" w:cstheme="minorHAnsi"/>
        </w:rPr>
        <w:t xml:space="preserve">prill </w:t>
      </w:r>
      <w:r w:rsidR="00A31673" w:rsidRPr="0046164E">
        <w:rPr>
          <w:rFonts w:ascii="Garamond" w:hAnsi="Garamond" w:cstheme="minorHAnsi"/>
        </w:rPr>
        <w:t xml:space="preserve">2016). </w:t>
      </w:r>
    </w:p>
    <w:p w14:paraId="71D0285E" w14:textId="23A7F62B" w:rsidR="00A31673" w:rsidRPr="0046164E" w:rsidRDefault="0046164E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 w:cstheme="minorHAnsi"/>
        </w:rPr>
        <w:lastRenderedPageBreak/>
        <w:t xml:space="preserve">7. </w:t>
      </w:r>
      <w:r w:rsidR="00A31673" w:rsidRPr="0046164E">
        <w:rPr>
          <w:rFonts w:ascii="Garamond" w:hAnsi="Garamond" w:cstheme="minorHAnsi"/>
        </w:rPr>
        <w:t>N</w:t>
      </w:r>
      <w:r w:rsidR="001F179F" w:rsidRPr="0046164E">
        <w:rPr>
          <w:rFonts w:ascii="Garamond" w:hAnsi="Garamond" w:cstheme="minorHAnsi"/>
        </w:rPr>
        <w:t>ë</w:t>
      </w:r>
      <w:r w:rsidR="00A31673" w:rsidRPr="0046164E">
        <w:rPr>
          <w:rFonts w:ascii="Garamond" w:hAnsi="Garamond" w:cstheme="minorHAnsi"/>
        </w:rPr>
        <w:t xml:space="preserve"> </w:t>
      </w:r>
      <w:r w:rsidR="001F179F" w:rsidRPr="0046164E">
        <w:rPr>
          <w:rFonts w:ascii="Garamond" w:hAnsi="Garamond" w:cstheme="minorHAnsi"/>
        </w:rPr>
        <w:t>çë</w:t>
      </w:r>
      <w:r w:rsidR="00A31673" w:rsidRPr="0046164E">
        <w:rPr>
          <w:rFonts w:ascii="Garamond" w:hAnsi="Garamond" w:cstheme="minorHAnsi"/>
        </w:rPr>
        <w:t xml:space="preserve">shtjet referuese </w:t>
      </w:r>
      <w:r w:rsidR="00A31673" w:rsidRPr="0046164E">
        <w:rPr>
          <w:rFonts w:ascii="Garamond" w:hAnsi="Garamond" w:cstheme="minorHAnsi"/>
          <w:i/>
          <w:iCs/>
        </w:rPr>
        <w:t>Luli dhe t</w:t>
      </w:r>
      <w:r w:rsidR="001F179F" w:rsidRPr="0046164E">
        <w:rPr>
          <w:rFonts w:ascii="Garamond" w:hAnsi="Garamond" w:cstheme="minorHAnsi"/>
          <w:i/>
          <w:iCs/>
        </w:rPr>
        <w:t>ë</w:t>
      </w:r>
      <w:r w:rsidR="00A31673" w:rsidRPr="0046164E">
        <w:rPr>
          <w:rFonts w:ascii="Garamond" w:hAnsi="Garamond" w:cstheme="minorHAnsi"/>
          <w:i/>
          <w:iCs/>
        </w:rPr>
        <w:t xml:space="preserve"> </w:t>
      </w:r>
      <w:r w:rsidR="003C7FD8">
        <w:rPr>
          <w:rFonts w:ascii="Garamond" w:hAnsi="Garamond" w:cstheme="minorHAnsi"/>
          <w:i/>
          <w:iCs/>
        </w:rPr>
        <w:t>t</w:t>
      </w:r>
      <w:r w:rsidR="00A31673" w:rsidRPr="0046164E">
        <w:rPr>
          <w:rFonts w:ascii="Garamond" w:hAnsi="Garamond" w:cstheme="minorHAnsi"/>
          <w:i/>
          <w:iCs/>
        </w:rPr>
        <w:t>jer</w:t>
      </w:r>
      <w:r w:rsidR="001F179F" w:rsidRPr="0046164E">
        <w:rPr>
          <w:rFonts w:ascii="Garamond" w:hAnsi="Garamond" w:cstheme="minorHAnsi"/>
          <w:i/>
          <w:iCs/>
        </w:rPr>
        <w:t>ë</w:t>
      </w:r>
      <w:r w:rsidR="00A31673" w:rsidRPr="0046164E">
        <w:rPr>
          <w:rFonts w:ascii="Garamond" w:hAnsi="Garamond" w:cstheme="minorHAnsi"/>
          <w:i/>
          <w:iCs/>
        </w:rPr>
        <w:t>t kund</w:t>
      </w:r>
      <w:r w:rsidR="001F179F" w:rsidRPr="0046164E">
        <w:rPr>
          <w:rFonts w:ascii="Garamond" w:hAnsi="Garamond" w:cstheme="minorHAnsi"/>
          <w:i/>
          <w:iCs/>
        </w:rPr>
        <w:t>ë</w:t>
      </w:r>
      <w:r w:rsidR="00A31673" w:rsidRPr="0046164E">
        <w:rPr>
          <w:rFonts w:ascii="Garamond" w:hAnsi="Garamond" w:cstheme="minorHAnsi"/>
          <w:i/>
          <w:iCs/>
        </w:rPr>
        <w:t xml:space="preserve">r </w:t>
      </w:r>
      <w:r w:rsidR="001F179F" w:rsidRPr="0046164E">
        <w:rPr>
          <w:rFonts w:ascii="Garamond" w:hAnsi="Garamond" w:cstheme="minorHAnsi"/>
          <w:i/>
          <w:iCs/>
        </w:rPr>
        <w:t>Shqipërisë</w:t>
      </w:r>
      <w:r w:rsidR="00A31673" w:rsidRPr="0046164E">
        <w:rPr>
          <w:rFonts w:ascii="Garamond" w:hAnsi="Garamond" w:cstheme="minorHAnsi"/>
          <w:i/>
          <w:iCs/>
        </w:rPr>
        <w:t xml:space="preserve">, </w:t>
      </w:r>
      <w:r w:rsidR="00A31673" w:rsidRPr="0046164E">
        <w:rPr>
          <w:rFonts w:ascii="Garamond" w:hAnsi="Garamond" w:cstheme="minorHAnsi"/>
        </w:rPr>
        <w:t>nr. 64480/09 dhe 5 t</w:t>
      </w:r>
      <w:r w:rsidR="001F179F" w:rsidRPr="0046164E">
        <w:rPr>
          <w:rFonts w:ascii="Garamond" w:hAnsi="Garamond" w:cstheme="minorHAnsi"/>
        </w:rPr>
        <w:t>ë</w:t>
      </w:r>
      <w:r w:rsidR="00A31673" w:rsidRPr="0046164E">
        <w:rPr>
          <w:rFonts w:ascii="Garamond" w:hAnsi="Garamond" w:cstheme="minorHAnsi"/>
        </w:rPr>
        <w:t xml:space="preserve"> tjer</w:t>
      </w:r>
      <w:r w:rsidR="001F179F" w:rsidRPr="0046164E">
        <w:rPr>
          <w:rFonts w:ascii="Garamond" w:hAnsi="Garamond" w:cstheme="minorHAnsi"/>
        </w:rPr>
        <w:t>ë</w:t>
      </w:r>
      <w:r w:rsidR="00A31673" w:rsidRPr="0046164E">
        <w:rPr>
          <w:rFonts w:ascii="Garamond" w:hAnsi="Garamond" w:cstheme="minorHAnsi"/>
        </w:rPr>
        <w:t xml:space="preserve">, 1 </w:t>
      </w:r>
      <w:r w:rsidR="003C7FD8">
        <w:rPr>
          <w:rFonts w:ascii="Garamond" w:hAnsi="Garamond" w:cstheme="minorHAnsi"/>
        </w:rPr>
        <w:t>p</w:t>
      </w:r>
      <w:r w:rsidR="00A31673" w:rsidRPr="0046164E">
        <w:rPr>
          <w:rFonts w:ascii="Garamond" w:hAnsi="Garamond" w:cstheme="minorHAnsi"/>
        </w:rPr>
        <w:t xml:space="preserve">rill 2014, dhe </w:t>
      </w:r>
      <w:proofErr w:type="spellStart"/>
      <w:r w:rsidR="00A31673" w:rsidRPr="0046164E">
        <w:rPr>
          <w:rFonts w:ascii="Garamond" w:hAnsi="Garamond" w:cstheme="minorHAnsi"/>
          <w:i/>
          <w:iCs/>
        </w:rPr>
        <w:t>Mishgjoni</w:t>
      </w:r>
      <w:proofErr w:type="spellEnd"/>
      <w:r w:rsidR="00A31673" w:rsidRPr="0046164E">
        <w:rPr>
          <w:rFonts w:ascii="Garamond" w:hAnsi="Garamond" w:cstheme="minorHAnsi"/>
          <w:i/>
          <w:iCs/>
        </w:rPr>
        <w:t xml:space="preserve"> kund</w:t>
      </w:r>
      <w:r w:rsidR="001F179F" w:rsidRPr="0046164E">
        <w:rPr>
          <w:rFonts w:ascii="Garamond" w:hAnsi="Garamond" w:cstheme="minorHAnsi"/>
          <w:i/>
          <w:iCs/>
        </w:rPr>
        <w:t>ë</w:t>
      </w:r>
      <w:r w:rsidR="00A31673" w:rsidRPr="0046164E">
        <w:rPr>
          <w:rFonts w:ascii="Garamond" w:hAnsi="Garamond" w:cstheme="minorHAnsi"/>
          <w:i/>
          <w:iCs/>
        </w:rPr>
        <w:t xml:space="preserve">r </w:t>
      </w:r>
      <w:r w:rsidR="001F179F" w:rsidRPr="0046164E">
        <w:rPr>
          <w:rFonts w:ascii="Garamond" w:hAnsi="Garamond" w:cstheme="minorHAnsi"/>
          <w:i/>
          <w:iCs/>
        </w:rPr>
        <w:t>Shqipërisë</w:t>
      </w:r>
      <w:r w:rsidR="00A31673" w:rsidRPr="0046164E">
        <w:rPr>
          <w:rFonts w:ascii="Garamond" w:hAnsi="Garamond" w:cstheme="minorHAnsi"/>
          <w:i/>
          <w:iCs/>
        </w:rPr>
        <w:t xml:space="preserve"> </w:t>
      </w:r>
      <w:r w:rsidR="00A31673" w:rsidRPr="0046164E">
        <w:rPr>
          <w:rFonts w:ascii="Garamond" w:hAnsi="Garamond" w:cstheme="minorHAnsi"/>
        </w:rPr>
        <w:t xml:space="preserve">nr. 18381/05, 7 </w:t>
      </w:r>
      <w:r w:rsidR="003C7FD8">
        <w:rPr>
          <w:rFonts w:ascii="Garamond" w:hAnsi="Garamond" w:cstheme="minorHAnsi"/>
        </w:rPr>
        <w:t>d</w:t>
      </w:r>
      <w:r w:rsidR="00A31673" w:rsidRPr="0046164E">
        <w:rPr>
          <w:rFonts w:ascii="Garamond" w:hAnsi="Garamond" w:cstheme="minorHAnsi"/>
        </w:rPr>
        <w:t>hjetor 2010, Gjykata konstatoi nj</w:t>
      </w:r>
      <w:r w:rsidR="001F179F" w:rsidRPr="0046164E">
        <w:rPr>
          <w:rFonts w:ascii="Garamond" w:hAnsi="Garamond" w:cstheme="minorHAnsi"/>
        </w:rPr>
        <w:t>ë</w:t>
      </w:r>
      <w:r w:rsidR="00A31673" w:rsidRPr="0046164E">
        <w:rPr>
          <w:rFonts w:ascii="Garamond" w:hAnsi="Garamond" w:cstheme="minorHAnsi"/>
        </w:rPr>
        <w:t xml:space="preserve"> shkelje n</w:t>
      </w:r>
      <w:r w:rsidR="001F179F" w:rsidRPr="0046164E">
        <w:rPr>
          <w:rFonts w:ascii="Garamond" w:hAnsi="Garamond" w:cstheme="minorHAnsi"/>
        </w:rPr>
        <w:t>ë</w:t>
      </w:r>
      <w:r w:rsidR="00A31673" w:rsidRPr="0046164E">
        <w:rPr>
          <w:rFonts w:ascii="Garamond" w:hAnsi="Garamond" w:cstheme="minorHAnsi"/>
        </w:rPr>
        <w:t xml:space="preserve"> lidhje m</w:t>
      </w:r>
      <w:r w:rsidR="004C75D9" w:rsidRPr="0046164E">
        <w:rPr>
          <w:rFonts w:ascii="Garamond" w:hAnsi="Garamond" w:cstheme="minorHAnsi"/>
        </w:rPr>
        <w:t>e disa problematika t</w:t>
      </w:r>
      <w:r w:rsidR="001F179F" w:rsidRPr="0046164E">
        <w:rPr>
          <w:rFonts w:ascii="Garamond" w:hAnsi="Garamond" w:cstheme="minorHAnsi"/>
        </w:rPr>
        <w:t>ë</w:t>
      </w:r>
      <w:r w:rsidR="004C75D9" w:rsidRPr="0046164E">
        <w:rPr>
          <w:rFonts w:ascii="Garamond" w:hAnsi="Garamond" w:cstheme="minorHAnsi"/>
        </w:rPr>
        <w:t xml:space="preserve"> ngjashme me ato n</w:t>
      </w:r>
      <w:r w:rsidR="001F179F" w:rsidRPr="0046164E">
        <w:rPr>
          <w:rFonts w:ascii="Garamond" w:hAnsi="Garamond" w:cstheme="minorHAnsi"/>
        </w:rPr>
        <w:t>ë</w:t>
      </w:r>
      <w:r w:rsidR="004C75D9" w:rsidRPr="0046164E">
        <w:rPr>
          <w:rFonts w:ascii="Garamond" w:hAnsi="Garamond" w:cstheme="minorHAnsi"/>
        </w:rPr>
        <w:t xml:space="preserve"> </w:t>
      </w:r>
      <w:r w:rsidR="001F179F" w:rsidRPr="0046164E">
        <w:rPr>
          <w:rFonts w:ascii="Garamond" w:hAnsi="Garamond" w:cstheme="minorHAnsi"/>
        </w:rPr>
        <w:t>çë</w:t>
      </w:r>
      <w:r w:rsidR="004C75D9" w:rsidRPr="0046164E">
        <w:rPr>
          <w:rFonts w:ascii="Garamond" w:hAnsi="Garamond" w:cstheme="minorHAnsi"/>
        </w:rPr>
        <w:t xml:space="preserve">shtjen konkrete. </w:t>
      </w:r>
    </w:p>
    <w:p w14:paraId="2A404C41" w14:textId="568D5360" w:rsidR="004C75D9" w:rsidRPr="0046164E" w:rsidRDefault="0046164E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 w:cstheme="minorHAnsi"/>
        </w:rPr>
        <w:t xml:space="preserve">8. </w:t>
      </w:r>
      <w:r w:rsidR="004C75D9" w:rsidRPr="0046164E">
        <w:rPr>
          <w:rFonts w:ascii="Garamond" w:hAnsi="Garamond" w:cstheme="minorHAnsi"/>
        </w:rPr>
        <w:t>N</w:t>
      </w:r>
      <w:r w:rsidR="001F179F" w:rsidRPr="0046164E">
        <w:rPr>
          <w:rFonts w:ascii="Garamond" w:hAnsi="Garamond" w:cstheme="minorHAnsi"/>
        </w:rPr>
        <w:t>ë</w:t>
      </w:r>
      <w:r w:rsidR="004C75D9" w:rsidRPr="0046164E">
        <w:rPr>
          <w:rFonts w:ascii="Garamond" w:hAnsi="Garamond" w:cstheme="minorHAnsi"/>
        </w:rPr>
        <w:t xml:space="preserve"> </w:t>
      </w:r>
      <w:r w:rsidR="00674145" w:rsidRPr="0046164E">
        <w:rPr>
          <w:rFonts w:ascii="Garamond" w:hAnsi="Garamond" w:cstheme="minorHAnsi"/>
        </w:rPr>
        <w:t>k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>rkes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>n nr. 61445/12, k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>rkuesi u ankua vet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>m p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>r koh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>zgjatjen e procesit n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 xml:space="preserve"> Gjykat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>n e Lart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>. Procesi nisi m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 xml:space="preserve"> 9 </w:t>
      </w:r>
      <w:r w:rsidR="003C7FD8">
        <w:rPr>
          <w:rFonts w:ascii="Garamond" w:hAnsi="Garamond" w:cstheme="minorHAnsi"/>
        </w:rPr>
        <w:t>t</w:t>
      </w:r>
      <w:r w:rsidR="00674145" w:rsidRPr="0046164E">
        <w:rPr>
          <w:rFonts w:ascii="Garamond" w:hAnsi="Garamond" w:cstheme="minorHAnsi"/>
        </w:rPr>
        <w:t>etor 2009 dhe p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>rfundoi m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 xml:space="preserve"> 6 </w:t>
      </w:r>
      <w:r w:rsidR="003C7FD8" w:rsidRPr="0046164E">
        <w:rPr>
          <w:rFonts w:ascii="Garamond" w:hAnsi="Garamond" w:cstheme="minorHAnsi"/>
        </w:rPr>
        <w:t xml:space="preserve">prill </w:t>
      </w:r>
      <w:r w:rsidR="00674145" w:rsidRPr="0046164E">
        <w:rPr>
          <w:rFonts w:ascii="Garamond" w:hAnsi="Garamond" w:cstheme="minorHAnsi"/>
        </w:rPr>
        <w:t>2012, kur Gjykata e Lart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 xml:space="preserve"> rr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 xml:space="preserve">zoi </w:t>
      </w:r>
      <w:r w:rsidR="00674145" w:rsidRPr="0046164E">
        <w:rPr>
          <w:rFonts w:ascii="Garamond" w:hAnsi="Garamond" w:cstheme="minorHAnsi"/>
          <w:i/>
          <w:iCs/>
        </w:rPr>
        <w:t xml:space="preserve">de plano </w:t>
      </w:r>
      <w:r w:rsidR="00674145" w:rsidRPr="0046164E">
        <w:rPr>
          <w:rFonts w:ascii="Garamond" w:hAnsi="Garamond" w:cstheme="minorHAnsi"/>
        </w:rPr>
        <w:t xml:space="preserve"> rekursin e k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>rkuesit. P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>r k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>t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 xml:space="preserve"> arsye, procesi zgjati p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>r pothuajse dy vite e gjysm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 xml:space="preserve"> n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 xml:space="preserve"> nj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 xml:space="preserve"> shkall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 xml:space="preserve"> t</w:t>
      </w:r>
      <w:r w:rsidR="001F179F" w:rsidRPr="0046164E">
        <w:rPr>
          <w:rFonts w:ascii="Garamond" w:hAnsi="Garamond" w:cstheme="minorHAnsi"/>
        </w:rPr>
        <w:t>ë</w:t>
      </w:r>
      <w:r w:rsidR="00674145" w:rsidRPr="0046164E">
        <w:rPr>
          <w:rFonts w:ascii="Garamond" w:hAnsi="Garamond" w:cstheme="minorHAnsi"/>
        </w:rPr>
        <w:t xml:space="preserve"> juridiksionit. </w:t>
      </w:r>
    </w:p>
    <w:p w14:paraId="60144D19" w14:textId="2A87A0E0" w:rsidR="00674145" w:rsidRPr="0046164E" w:rsidRDefault="0046164E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/>
        </w:rPr>
        <w:t xml:space="preserve">9. </w:t>
      </w:r>
      <w:r w:rsidR="00674145" w:rsidRPr="0046164E">
        <w:rPr>
          <w:rFonts w:ascii="Garamond" w:hAnsi="Garamond"/>
        </w:rPr>
        <w:t>Sipas dosjes s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</w:t>
      </w:r>
      <w:r w:rsidR="001F179F" w:rsidRPr="0046164E">
        <w:rPr>
          <w:rFonts w:ascii="Garamond" w:hAnsi="Garamond"/>
        </w:rPr>
        <w:t>çë</w:t>
      </w:r>
      <w:r w:rsidR="00674145" w:rsidRPr="0046164E">
        <w:rPr>
          <w:rFonts w:ascii="Garamond" w:hAnsi="Garamond"/>
        </w:rPr>
        <w:t>shtjes, k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rkuesi e nisi procesin ndaj pal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ve private n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lidhje me detyrimet kontraktuale. Pas vendimeve t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gjykat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s s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shkal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s s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par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dhe t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apelit, Gjykata e Lart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u mblodh p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r t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vendosur n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se i takonte k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tyre dy gjykatave t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vler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sonin </w:t>
      </w:r>
      <w:r w:rsidR="00674145" w:rsidRPr="0046164E">
        <w:rPr>
          <w:rFonts w:ascii="Garamond" w:hAnsi="Garamond"/>
          <w:i/>
          <w:iCs/>
        </w:rPr>
        <w:t xml:space="preserve">proprio motu </w:t>
      </w:r>
      <w:r w:rsidR="00674145" w:rsidRPr="0046164E">
        <w:rPr>
          <w:rFonts w:ascii="Garamond" w:hAnsi="Garamond"/>
        </w:rPr>
        <w:t xml:space="preserve"> ligjshm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rin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e kontrat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s. </w:t>
      </w:r>
    </w:p>
    <w:p w14:paraId="2C13D9B6" w14:textId="0FEAD762" w:rsidR="00674145" w:rsidRPr="0046164E" w:rsidRDefault="0046164E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/>
        </w:rPr>
        <w:t xml:space="preserve">10. </w:t>
      </w:r>
      <w:r w:rsidR="00674145" w:rsidRPr="0046164E">
        <w:rPr>
          <w:rFonts w:ascii="Garamond" w:hAnsi="Garamond"/>
        </w:rPr>
        <w:t>Apeli n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Gjykat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n e Lart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nuk p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rmbante problematika ligjore ve</w:t>
      </w:r>
      <w:r w:rsidR="001F179F" w:rsidRPr="0046164E">
        <w:rPr>
          <w:rFonts w:ascii="Garamond" w:hAnsi="Garamond"/>
        </w:rPr>
        <w:t>ç</w:t>
      </w:r>
      <w:r w:rsidR="00674145" w:rsidRPr="0046164E">
        <w:rPr>
          <w:rFonts w:ascii="Garamond" w:hAnsi="Garamond"/>
        </w:rPr>
        <w:t>an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risht komplekse, dhe Gjykata e Lart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nuk nd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rmori asnj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hap procedural gjat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periudh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s n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n shqyrtim. Qeveria nuk paraqiti shpjegime p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r koh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zgjatjen e procesit pran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Gjykat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s s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Lart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. Nuk ka indicie se koh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zgjatja e procesit ishte p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r shkak t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kompleksitetit t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</w:t>
      </w:r>
      <w:r w:rsidR="001F179F" w:rsidRPr="0046164E">
        <w:rPr>
          <w:rFonts w:ascii="Garamond" w:hAnsi="Garamond"/>
        </w:rPr>
        <w:t>çë</w:t>
      </w:r>
      <w:r w:rsidR="00674145" w:rsidRPr="0046164E">
        <w:rPr>
          <w:rFonts w:ascii="Garamond" w:hAnsi="Garamond"/>
        </w:rPr>
        <w:t>shtjes apo p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r shkak t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k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rkuesit. P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r k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t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arsye, koha q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iu desh Gjykat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s s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Lart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p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r t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l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shuar nj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refuzim </w:t>
      </w:r>
      <w:r w:rsidR="00674145" w:rsidRPr="0046164E">
        <w:rPr>
          <w:rFonts w:ascii="Garamond" w:hAnsi="Garamond"/>
          <w:i/>
          <w:iCs/>
        </w:rPr>
        <w:t xml:space="preserve">de plano </w:t>
      </w:r>
      <w:r w:rsidR="00674145" w:rsidRPr="0046164E">
        <w:rPr>
          <w:rFonts w:ascii="Garamond" w:hAnsi="Garamond"/>
        </w:rPr>
        <w:t xml:space="preserve"> ishte e tep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rt. </w:t>
      </w:r>
    </w:p>
    <w:p w14:paraId="0208EC1D" w14:textId="0A3F487E" w:rsidR="00674145" w:rsidRPr="0046164E" w:rsidRDefault="0046164E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/>
        </w:rPr>
        <w:t xml:space="preserve">11. </w:t>
      </w:r>
      <w:r w:rsidR="00674145" w:rsidRPr="0046164E">
        <w:rPr>
          <w:rFonts w:ascii="Garamond" w:hAnsi="Garamond"/>
        </w:rPr>
        <w:t>N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k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rkes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n nr. 53157/15, k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rkuesi u ankua p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r procesin q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filloi m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17 </w:t>
      </w:r>
      <w:r w:rsidR="003C7FD8">
        <w:rPr>
          <w:rFonts w:ascii="Garamond" w:hAnsi="Garamond"/>
        </w:rPr>
        <w:t>n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ntor 2005 dhe p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rfundoi m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10 </w:t>
      </w:r>
      <w:r w:rsidR="003C7FD8">
        <w:rPr>
          <w:rFonts w:ascii="Garamond" w:hAnsi="Garamond"/>
        </w:rPr>
        <w:t>p</w:t>
      </w:r>
      <w:r w:rsidR="00674145" w:rsidRPr="0046164E">
        <w:rPr>
          <w:rFonts w:ascii="Garamond" w:hAnsi="Garamond"/>
        </w:rPr>
        <w:t>rill 2015, duke zgjatur p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r pothuajse n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>nt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vite dhe pes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muaj. Pas marrjes s</w:t>
      </w:r>
      <w:r w:rsidR="001F179F" w:rsidRPr="0046164E">
        <w:rPr>
          <w:rFonts w:ascii="Garamond" w:hAnsi="Garamond"/>
        </w:rPr>
        <w:t>ë</w:t>
      </w:r>
      <w:r w:rsidR="00674145" w:rsidRPr="0046164E">
        <w:rPr>
          <w:rFonts w:ascii="Garamond" w:hAnsi="Garamond"/>
        </w:rPr>
        <w:t xml:space="preserve"> p</w:t>
      </w:r>
      <w:r w:rsidR="00167FDE" w:rsidRPr="0046164E">
        <w:rPr>
          <w:rFonts w:ascii="Garamond" w:hAnsi="Garamond"/>
        </w:rPr>
        <w:t>adis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s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k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rkuesit p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r disa detyrime kontraktuale, Gjykat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s s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Rrethit Tiran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, gjykata e shkall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s s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par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, iu desh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n m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shum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se tre vite q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shpallte vendimin, m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konkretisht m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10 </w:t>
      </w:r>
      <w:r w:rsidR="003C7FD8">
        <w:rPr>
          <w:rFonts w:ascii="Garamond" w:hAnsi="Garamond"/>
        </w:rPr>
        <w:t>d</w:t>
      </w:r>
      <w:r w:rsidR="00167FDE" w:rsidRPr="0046164E">
        <w:rPr>
          <w:rFonts w:ascii="Garamond" w:hAnsi="Garamond"/>
        </w:rPr>
        <w:t>hjetor 2008, ne an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cilit gjykata vendoste 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rr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zonte padin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e k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rkuesit. Pas vendimit 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gjykat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s s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apelit p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r 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prishur vendimin dhe p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r 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nisur shqyrtimin, procesi p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rfundoi me vendimin e form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s s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prer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dat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s 10 </w:t>
      </w:r>
      <w:r w:rsidR="003C7FD8">
        <w:rPr>
          <w:rFonts w:ascii="Garamond" w:hAnsi="Garamond"/>
        </w:rPr>
        <w:t>p</w:t>
      </w:r>
      <w:r w:rsidR="00167FDE" w:rsidRPr="0046164E">
        <w:rPr>
          <w:rFonts w:ascii="Garamond" w:hAnsi="Garamond"/>
        </w:rPr>
        <w:t>rill 2015, i cili u vu n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dispozicion 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k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rkuesit m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24 </w:t>
      </w:r>
      <w:r w:rsidR="003C7FD8">
        <w:rPr>
          <w:rFonts w:ascii="Garamond" w:hAnsi="Garamond"/>
        </w:rPr>
        <w:t>p</w:t>
      </w:r>
      <w:r w:rsidR="00167FDE" w:rsidRPr="0046164E">
        <w:rPr>
          <w:rFonts w:ascii="Garamond" w:hAnsi="Garamond"/>
        </w:rPr>
        <w:t>rill 2015. Nuk ka fakte se k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rkuesi kontribuoi n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ndonj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m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nyr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n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koh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zgjatjen e procesit. Procesi nuk ishte kompleks, por nga ana e gjykatave vendase kishte pasur periudha 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gjata mosveprimi. </w:t>
      </w:r>
    </w:p>
    <w:p w14:paraId="4F0B8805" w14:textId="58E0FB82" w:rsidR="00167FDE" w:rsidRPr="0046164E" w:rsidRDefault="0046164E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/>
        </w:rPr>
        <w:t xml:space="preserve">12. </w:t>
      </w:r>
      <w:r w:rsidR="00167FDE" w:rsidRPr="0046164E">
        <w:rPr>
          <w:rFonts w:ascii="Garamond" w:hAnsi="Garamond"/>
        </w:rPr>
        <w:t>Pasi shqyrtoi 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gjith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materialin e dor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zuar pran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saj, Gjykata nuk konstatoi fakte apo argumente me an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cilave 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justifikonte koh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zgjatjen e p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rgjithshme 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procesit n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nivel komb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tar p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r 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dy aplikimet. Duke pasur n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konsiderat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praktik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n e saj gjyq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sore, Gjykata vendos se n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dyja k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rkesat koh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zgjatja e procedurave ishte e tep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rt dhe nuk p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rmbushte k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rkes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n p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r “afat 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arsyesh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m”.</w:t>
      </w:r>
    </w:p>
    <w:p w14:paraId="231FEADE" w14:textId="778C9C53" w:rsidR="00167FDE" w:rsidRPr="0046164E" w:rsidRDefault="0046164E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/>
        </w:rPr>
        <w:t xml:space="preserve">13. </w:t>
      </w:r>
      <w:r w:rsidR="00167FDE" w:rsidRPr="0046164E">
        <w:rPr>
          <w:rFonts w:ascii="Garamond" w:hAnsi="Garamond"/>
        </w:rPr>
        <w:t>P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r k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arsye, k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to k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>rkesa jan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pranueshme dhe konstatojn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nj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shkelje t</w:t>
      </w:r>
      <w:r w:rsidR="001F179F" w:rsidRPr="0046164E">
        <w:rPr>
          <w:rFonts w:ascii="Garamond" w:hAnsi="Garamond"/>
        </w:rPr>
        <w:t>ë</w:t>
      </w:r>
      <w:r w:rsidR="00167FDE" w:rsidRPr="0046164E">
        <w:rPr>
          <w:rFonts w:ascii="Garamond" w:hAnsi="Garamond"/>
        </w:rPr>
        <w:t xml:space="preserve"> </w:t>
      </w:r>
      <w:r w:rsidR="002F2567" w:rsidRPr="0046164E">
        <w:rPr>
          <w:rFonts w:ascii="Garamond" w:hAnsi="Garamond"/>
        </w:rPr>
        <w:t xml:space="preserve">nenit </w:t>
      </w:r>
      <w:r w:rsidR="00167FDE" w:rsidRPr="0046164E">
        <w:rPr>
          <w:rFonts w:ascii="Garamond" w:hAnsi="Garamond"/>
        </w:rPr>
        <w:t xml:space="preserve">6 </w:t>
      </w:r>
      <w:r w:rsidR="00167FDE" w:rsidRPr="0046164E">
        <w:rPr>
          <w:rFonts w:ascii="Garamond" w:hAnsi="Garamond" w:cstheme="minorHAnsi"/>
        </w:rPr>
        <w:t>§ 1 t</w:t>
      </w:r>
      <w:r w:rsidR="001F179F" w:rsidRPr="0046164E">
        <w:rPr>
          <w:rFonts w:ascii="Garamond" w:hAnsi="Garamond" w:cstheme="minorHAnsi"/>
        </w:rPr>
        <w:t>ë</w:t>
      </w:r>
      <w:r w:rsidR="00167FDE" w:rsidRPr="0046164E">
        <w:rPr>
          <w:rFonts w:ascii="Garamond" w:hAnsi="Garamond" w:cstheme="minorHAnsi"/>
        </w:rPr>
        <w:t xml:space="preserve"> Konvent</w:t>
      </w:r>
      <w:r w:rsidR="001F179F" w:rsidRPr="0046164E">
        <w:rPr>
          <w:rFonts w:ascii="Garamond" w:hAnsi="Garamond" w:cstheme="minorHAnsi"/>
        </w:rPr>
        <w:t>ë</w:t>
      </w:r>
      <w:r w:rsidR="00167FDE" w:rsidRPr="0046164E">
        <w:rPr>
          <w:rFonts w:ascii="Garamond" w:hAnsi="Garamond" w:cstheme="minorHAnsi"/>
        </w:rPr>
        <w:t xml:space="preserve">s. </w:t>
      </w:r>
    </w:p>
    <w:p w14:paraId="3F72F193" w14:textId="48785C71" w:rsidR="00167FDE" w:rsidRPr="0046164E" w:rsidRDefault="0046164E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 w:cstheme="minorHAnsi"/>
        </w:rPr>
        <w:t xml:space="preserve">III. </w:t>
      </w:r>
      <w:r w:rsidR="00167FDE" w:rsidRPr="0046164E">
        <w:rPr>
          <w:rFonts w:ascii="Garamond" w:hAnsi="Garamond" w:cstheme="minorHAnsi"/>
        </w:rPr>
        <w:t>PRETENDIME T</w:t>
      </w:r>
      <w:r w:rsidR="001F179F" w:rsidRPr="0046164E">
        <w:rPr>
          <w:rFonts w:ascii="Garamond" w:hAnsi="Garamond" w:cstheme="minorHAnsi"/>
        </w:rPr>
        <w:t>Ë</w:t>
      </w:r>
      <w:r w:rsidR="00167FDE" w:rsidRPr="0046164E">
        <w:rPr>
          <w:rFonts w:ascii="Garamond" w:hAnsi="Garamond" w:cstheme="minorHAnsi"/>
        </w:rPr>
        <w:t xml:space="preserve"> TJERA P</w:t>
      </w:r>
      <w:r w:rsidR="001F179F" w:rsidRPr="0046164E">
        <w:rPr>
          <w:rFonts w:ascii="Garamond" w:hAnsi="Garamond" w:cstheme="minorHAnsi"/>
        </w:rPr>
        <w:t>Ë</w:t>
      </w:r>
      <w:r w:rsidR="00167FDE" w:rsidRPr="0046164E">
        <w:rPr>
          <w:rFonts w:ascii="Garamond" w:hAnsi="Garamond" w:cstheme="minorHAnsi"/>
        </w:rPr>
        <w:t>R SHKELJE N</w:t>
      </w:r>
      <w:r w:rsidR="001F179F" w:rsidRPr="0046164E">
        <w:rPr>
          <w:rFonts w:ascii="Garamond" w:hAnsi="Garamond" w:cstheme="minorHAnsi"/>
        </w:rPr>
        <w:t>Ë</w:t>
      </w:r>
      <w:r w:rsidR="00167FDE" w:rsidRPr="0046164E">
        <w:rPr>
          <w:rFonts w:ascii="Garamond" w:hAnsi="Garamond" w:cstheme="minorHAnsi"/>
        </w:rPr>
        <w:t xml:space="preserve"> MB</w:t>
      </w:r>
      <w:r w:rsidR="001F179F" w:rsidRPr="0046164E">
        <w:rPr>
          <w:rFonts w:ascii="Garamond" w:hAnsi="Garamond" w:cstheme="minorHAnsi"/>
        </w:rPr>
        <w:t>Ë</w:t>
      </w:r>
      <w:r w:rsidR="00167FDE" w:rsidRPr="0046164E">
        <w:rPr>
          <w:rFonts w:ascii="Garamond" w:hAnsi="Garamond" w:cstheme="minorHAnsi"/>
        </w:rPr>
        <w:t>SHTETJE T</w:t>
      </w:r>
      <w:r w:rsidR="001F179F" w:rsidRPr="0046164E">
        <w:rPr>
          <w:rFonts w:ascii="Garamond" w:hAnsi="Garamond" w:cstheme="minorHAnsi"/>
        </w:rPr>
        <w:t>Ë</w:t>
      </w:r>
      <w:r w:rsidR="00167FDE" w:rsidRPr="0046164E">
        <w:rPr>
          <w:rFonts w:ascii="Garamond" w:hAnsi="Garamond" w:cstheme="minorHAnsi"/>
        </w:rPr>
        <w:t xml:space="preserve"> PRAKTIK</w:t>
      </w:r>
      <w:r w:rsidR="001F179F" w:rsidRPr="0046164E">
        <w:rPr>
          <w:rFonts w:ascii="Garamond" w:hAnsi="Garamond" w:cstheme="minorHAnsi"/>
        </w:rPr>
        <w:t>Ë</w:t>
      </w:r>
      <w:r w:rsidR="00167FDE" w:rsidRPr="0046164E">
        <w:rPr>
          <w:rFonts w:ascii="Garamond" w:hAnsi="Garamond" w:cstheme="minorHAnsi"/>
        </w:rPr>
        <w:t>S GJYQ</w:t>
      </w:r>
      <w:r w:rsidR="001F179F" w:rsidRPr="0046164E">
        <w:rPr>
          <w:rFonts w:ascii="Garamond" w:hAnsi="Garamond" w:cstheme="minorHAnsi"/>
        </w:rPr>
        <w:t>Ë</w:t>
      </w:r>
      <w:r w:rsidR="00167FDE" w:rsidRPr="0046164E">
        <w:rPr>
          <w:rFonts w:ascii="Garamond" w:hAnsi="Garamond" w:cstheme="minorHAnsi"/>
        </w:rPr>
        <w:t>SORE T</w:t>
      </w:r>
      <w:r w:rsidR="001F179F" w:rsidRPr="0046164E">
        <w:rPr>
          <w:rFonts w:ascii="Garamond" w:hAnsi="Garamond" w:cstheme="minorHAnsi"/>
        </w:rPr>
        <w:t>Ë</w:t>
      </w:r>
      <w:r w:rsidR="00167FDE" w:rsidRPr="0046164E">
        <w:rPr>
          <w:rFonts w:ascii="Garamond" w:hAnsi="Garamond" w:cstheme="minorHAnsi"/>
        </w:rPr>
        <w:t xml:space="preserve"> KONSOLIDUAR</w:t>
      </w:r>
    </w:p>
    <w:p w14:paraId="232213A5" w14:textId="416E17BC" w:rsidR="00167FDE" w:rsidRPr="0046164E" w:rsidRDefault="0046164E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 w:cstheme="minorHAnsi"/>
        </w:rPr>
        <w:t xml:space="preserve">14. </w:t>
      </w:r>
      <w:r w:rsidR="006B3B4E" w:rsidRPr="0046164E">
        <w:rPr>
          <w:rFonts w:ascii="Garamond" w:hAnsi="Garamond" w:cstheme="minorHAnsi"/>
        </w:rPr>
        <w:t>N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k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rkes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n e tij nr. 53157/15, k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rkuesi u ankua edhe n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mb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shtetje 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</w:t>
      </w:r>
      <w:r w:rsidR="002F2567" w:rsidRPr="0046164E">
        <w:rPr>
          <w:rFonts w:ascii="Garamond" w:hAnsi="Garamond" w:cstheme="minorHAnsi"/>
        </w:rPr>
        <w:t xml:space="preserve">nenit </w:t>
      </w:r>
      <w:r w:rsidR="006B3B4E" w:rsidRPr="0046164E">
        <w:rPr>
          <w:rFonts w:ascii="Garamond" w:hAnsi="Garamond" w:cstheme="minorHAnsi"/>
        </w:rPr>
        <w:t>13 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Konvent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s p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r munges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mjeteve vendase p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r ankes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n e tij p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r koh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zgjatjen e procesit. Duke iu referuar fakteve 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</w:t>
      </w:r>
      <w:r w:rsidR="001F179F" w:rsidRPr="0046164E">
        <w:rPr>
          <w:rFonts w:ascii="Garamond" w:hAnsi="Garamond" w:cstheme="minorHAnsi"/>
        </w:rPr>
        <w:t>çë</w:t>
      </w:r>
      <w:r w:rsidR="006B3B4E" w:rsidRPr="0046164E">
        <w:rPr>
          <w:rFonts w:ascii="Garamond" w:hAnsi="Garamond" w:cstheme="minorHAnsi"/>
        </w:rPr>
        <w:t>shtjes, parashtrimeve 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pal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ve dhe konstatimeve 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m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sip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rme, Gjykata gjykon se ka shqyrtuar </w:t>
      </w:r>
      <w:r w:rsidR="001F179F" w:rsidRPr="0046164E">
        <w:rPr>
          <w:rFonts w:ascii="Garamond" w:hAnsi="Garamond" w:cstheme="minorHAnsi"/>
        </w:rPr>
        <w:t>çë</w:t>
      </w:r>
      <w:r w:rsidR="006B3B4E" w:rsidRPr="0046164E">
        <w:rPr>
          <w:rFonts w:ascii="Garamond" w:hAnsi="Garamond" w:cstheme="minorHAnsi"/>
        </w:rPr>
        <w:t>shtjen kryesore ligjore 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paraqitur n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k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rkes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n konkrete. N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k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m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nyr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, Gjykata konstaton se nuk 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sht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e nevojshme q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jap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nj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vendim 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ve</w:t>
      </w:r>
      <w:r w:rsidR="001F179F" w:rsidRPr="0046164E">
        <w:rPr>
          <w:rFonts w:ascii="Garamond" w:hAnsi="Garamond" w:cstheme="minorHAnsi"/>
        </w:rPr>
        <w:t>ç</w:t>
      </w:r>
      <w:r w:rsidR="006B3B4E" w:rsidRPr="0046164E">
        <w:rPr>
          <w:rFonts w:ascii="Garamond" w:hAnsi="Garamond" w:cstheme="minorHAnsi"/>
        </w:rPr>
        <w:t>ant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p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r k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ankes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(shih </w:t>
      </w:r>
      <w:r w:rsidR="006B3B4E" w:rsidRPr="0046164E">
        <w:rPr>
          <w:rFonts w:ascii="Garamond" w:hAnsi="Garamond" w:cstheme="minorHAnsi"/>
          <w:i/>
          <w:iCs/>
        </w:rPr>
        <w:t>Qendra p</w:t>
      </w:r>
      <w:r w:rsidR="001F179F" w:rsidRPr="0046164E">
        <w:rPr>
          <w:rFonts w:ascii="Garamond" w:hAnsi="Garamond" w:cstheme="minorHAnsi"/>
          <w:i/>
          <w:iCs/>
        </w:rPr>
        <w:t>ë</w:t>
      </w:r>
      <w:r w:rsidR="006B3B4E" w:rsidRPr="0046164E">
        <w:rPr>
          <w:rFonts w:ascii="Garamond" w:hAnsi="Garamond" w:cstheme="minorHAnsi"/>
          <w:i/>
          <w:iCs/>
        </w:rPr>
        <w:t>r Burimet n</w:t>
      </w:r>
      <w:r w:rsidR="001F179F" w:rsidRPr="0046164E">
        <w:rPr>
          <w:rFonts w:ascii="Garamond" w:hAnsi="Garamond" w:cstheme="minorHAnsi"/>
          <w:i/>
          <w:iCs/>
        </w:rPr>
        <w:t>ë</w:t>
      </w:r>
      <w:r w:rsidR="006B3B4E" w:rsidRPr="0046164E">
        <w:rPr>
          <w:rFonts w:ascii="Garamond" w:hAnsi="Garamond" w:cstheme="minorHAnsi"/>
          <w:i/>
          <w:iCs/>
        </w:rPr>
        <w:t xml:space="preserve"> em</w:t>
      </w:r>
      <w:r w:rsidR="001F179F" w:rsidRPr="0046164E">
        <w:rPr>
          <w:rFonts w:ascii="Garamond" w:hAnsi="Garamond" w:cstheme="minorHAnsi"/>
          <w:i/>
          <w:iCs/>
        </w:rPr>
        <w:t>ë</w:t>
      </w:r>
      <w:r w:rsidR="006B3B4E" w:rsidRPr="0046164E">
        <w:rPr>
          <w:rFonts w:ascii="Garamond" w:hAnsi="Garamond" w:cstheme="minorHAnsi"/>
          <w:i/>
          <w:iCs/>
        </w:rPr>
        <w:t>r t</w:t>
      </w:r>
      <w:r w:rsidR="001F179F" w:rsidRPr="0046164E">
        <w:rPr>
          <w:rFonts w:ascii="Garamond" w:hAnsi="Garamond" w:cstheme="minorHAnsi"/>
          <w:i/>
          <w:iCs/>
        </w:rPr>
        <w:t>ë</w:t>
      </w:r>
      <w:r w:rsidR="006B3B4E" w:rsidRPr="0046164E">
        <w:rPr>
          <w:rFonts w:ascii="Garamond" w:hAnsi="Garamond" w:cstheme="minorHAnsi"/>
          <w:i/>
          <w:iCs/>
        </w:rPr>
        <w:t xml:space="preserve"> Valentin Câmpeanu kund</w:t>
      </w:r>
      <w:r w:rsidR="001F179F" w:rsidRPr="0046164E">
        <w:rPr>
          <w:rFonts w:ascii="Garamond" w:hAnsi="Garamond" w:cstheme="minorHAnsi"/>
          <w:i/>
          <w:iCs/>
        </w:rPr>
        <w:t>ë</w:t>
      </w:r>
      <w:r w:rsidR="006B3B4E" w:rsidRPr="0046164E">
        <w:rPr>
          <w:rFonts w:ascii="Garamond" w:hAnsi="Garamond" w:cstheme="minorHAnsi"/>
          <w:i/>
          <w:iCs/>
        </w:rPr>
        <w:t>r Rumanis</w:t>
      </w:r>
      <w:r w:rsidR="001F179F" w:rsidRPr="0046164E">
        <w:rPr>
          <w:rFonts w:ascii="Garamond" w:hAnsi="Garamond" w:cstheme="minorHAnsi"/>
          <w:i/>
          <w:iCs/>
        </w:rPr>
        <w:t>ë</w:t>
      </w:r>
      <w:r w:rsidR="006B3B4E" w:rsidRPr="0046164E">
        <w:rPr>
          <w:rFonts w:ascii="Garamond" w:hAnsi="Garamond" w:cstheme="minorHAnsi"/>
          <w:i/>
          <w:iCs/>
        </w:rPr>
        <w:t xml:space="preserve"> </w:t>
      </w:r>
      <w:r w:rsidR="006B3B4E" w:rsidRPr="0046164E">
        <w:rPr>
          <w:rFonts w:ascii="Garamond" w:hAnsi="Garamond" w:cstheme="minorHAnsi"/>
        </w:rPr>
        <w:t xml:space="preserve">[DHM], nr. 47848/08, § 156, GJEDNJ 2014, dhe </w:t>
      </w:r>
      <w:r w:rsidR="006B3B4E" w:rsidRPr="0046164E">
        <w:rPr>
          <w:rFonts w:ascii="Garamond" w:hAnsi="Garamond" w:cstheme="minorHAnsi"/>
          <w:i/>
          <w:iCs/>
        </w:rPr>
        <w:t>Habilaj kund</w:t>
      </w:r>
      <w:r w:rsidR="001F179F" w:rsidRPr="0046164E">
        <w:rPr>
          <w:rFonts w:ascii="Garamond" w:hAnsi="Garamond" w:cstheme="minorHAnsi"/>
          <w:i/>
          <w:iCs/>
        </w:rPr>
        <w:t>ë</w:t>
      </w:r>
      <w:r w:rsidR="006B3B4E" w:rsidRPr="0046164E">
        <w:rPr>
          <w:rFonts w:ascii="Garamond" w:hAnsi="Garamond" w:cstheme="minorHAnsi"/>
          <w:i/>
          <w:iCs/>
        </w:rPr>
        <w:t xml:space="preserve">r </w:t>
      </w:r>
      <w:r w:rsidR="001F179F" w:rsidRPr="0046164E">
        <w:rPr>
          <w:rFonts w:ascii="Garamond" w:hAnsi="Garamond" w:cstheme="minorHAnsi"/>
          <w:i/>
          <w:iCs/>
        </w:rPr>
        <w:t xml:space="preserve">Shqipërisë </w:t>
      </w:r>
      <w:r w:rsidR="006B3B4E" w:rsidRPr="0046164E">
        <w:rPr>
          <w:rFonts w:ascii="Garamond" w:hAnsi="Garamond"/>
        </w:rPr>
        <w:t xml:space="preserve">[Komisioni], nr. 2480/10, </w:t>
      </w:r>
      <w:r w:rsidR="006B3B4E" w:rsidRPr="0046164E">
        <w:rPr>
          <w:rFonts w:ascii="Garamond" w:hAnsi="Garamond" w:cstheme="minorHAnsi"/>
        </w:rPr>
        <w:t xml:space="preserve">§ 14, 15 </w:t>
      </w:r>
      <w:r w:rsidR="000A77ED">
        <w:rPr>
          <w:rFonts w:ascii="Garamond" w:hAnsi="Garamond" w:cstheme="minorHAnsi"/>
        </w:rPr>
        <w:t>s</w:t>
      </w:r>
      <w:r w:rsidR="006B3B4E" w:rsidRPr="0046164E">
        <w:rPr>
          <w:rFonts w:ascii="Garamond" w:hAnsi="Garamond" w:cstheme="minorHAnsi"/>
        </w:rPr>
        <w:t>htator 2022).</w:t>
      </w:r>
    </w:p>
    <w:p w14:paraId="6495795B" w14:textId="6AA80C28" w:rsidR="006B3B4E" w:rsidRPr="0046164E" w:rsidRDefault="0046164E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 w:cstheme="minorHAnsi"/>
        </w:rPr>
        <w:t xml:space="preserve">IV. </w:t>
      </w:r>
      <w:r w:rsidR="006B3B4E" w:rsidRPr="0046164E">
        <w:rPr>
          <w:rFonts w:ascii="Garamond" w:hAnsi="Garamond" w:cstheme="minorHAnsi"/>
        </w:rPr>
        <w:t>ZBATIMI I NENIT 41 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KONVENT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S</w:t>
      </w:r>
    </w:p>
    <w:p w14:paraId="0D024354" w14:textId="245BE959" w:rsidR="006B3B4E" w:rsidRPr="0046164E" w:rsidRDefault="0046164E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 w:cstheme="minorHAnsi"/>
        </w:rPr>
        <w:lastRenderedPageBreak/>
        <w:t xml:space="preserve">15. </w:t>
      </w:r>
      <w:r w:rsidR="006B3B4E" w:rsidRPr="0046164E">
        <w:rPr>
          <w:rFonts w:ascii="Garamond" w:hAnsi="Garamond" w:cstheme="minorHAnsi"/>
        </w:rPr>
        <w:t>Neni 41 i Konvent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s parashikon: </w:t>
      </w:r>
    </w:p>
    <w:p w14:paraId="632EAFCB" w14:textId="0F99C42F" w:rsidR="006B3B4E" w:rsidRPr="0046164E" w:rsidRDefault="006B3B4E" w:rsidP="0046164E">
      <w:pPr>
        <w:pStyle w:val="JuPara"/>
        <w:rPr>
          <w:rFonts w:ascii="Garamond" w:hAnsi="Garamond" w:cstheme="minorHAnsi"/>
        </w:rPr>
      </w:pPr>
      <w:r w:rsidRPr="0046164E">
        <w:rPr>
          <w:rFonts w:ascii="Garamond" w:hAnsi="Garamond" w:cstheme="minorHAnsi"/>
        </w:rPr>
        <w:t>“</w:t>
      </w:r>
      <w:r w:rsidRPr="0046164E">
        <w:rPr>
          <w:rFonts w:ascii="Garamond" w:hAnsi="Garamond"/>
        </w:rPr>
        <w:t>Kur Gjykata konstaton se ka pasur një shkelje të Konventës ose të protokolleve të saj dhe, nëse e drejta e brendshme e Palës së Lartë Kontraktuese lejon të bëhet vetëm një ndreqje e pjesshme, Gjykata, kur është e nevojshme, i akordon shpërblim të drejtë palës së dëmtuar.</w:t>
      </w:r>
      <w:r w:rsidRPr="0046164E">
        <w:rPr>
          <w:rFonts w:ascii="Garamond" w:hAnsi="Garamond" w:cstheme="minorHAnsi"/>
        </w:rPr>
        <w:t>”</w:t>
      </w:r>
    </w:p>
    <w:p w14:paraId="2A39574F" w14:textId="051506A8" w:rsidR="006B3B4E" w:rsidRPr="0046164E" w:rsidRDefault="0046164E" w:rsidP="0046164E">
      <w:pPr>
        <w:pStyle w:val="JuPara"/>
        <w:rPr>
          <w:rFonts w:ascii="Garamond" w:hAnsi="Garamond"/>
        </w:rPr>
      </w:pPr>
      <w:r w:rsidRPr="0046164E">
        <w:rPr>
          <w:rFonts w:ascii="Garamond" w:hAnsi="Garamond" w:cstheme="minorHAnsi"/>
        </w:rPr>
        <w:t xml:space="preserve">16. </w:t>
      </w:r>
      <w:r w:rsidR="006B3B4E" w:rsidRPr="0046164E">
        <w:rPr>
          <w:rFonts w:ascii="Garamond" w:hAnsi="Garamond" w:cstheme="minorHAnsi"/>
        </w:rPr>
        <w:t>Duke iu referuar dokumente</w:t>
      </w:r>
      <w:r w:rsidR="001F179F" w:rsidRPr="0046164E">
        <w:rPr>
          <w:rFonts w:ascii="Garamond" w:hAnsi="Garamond" w:cstheme="minorHAnsi"/>
        </w:rPr>
        <w:t>ve</w:t>
      </w:r>
      <w:r w:rsidR="006B3B4E" w:rsidRPr="0046164E">
        <w:rPr>
          <w:rFonts w:ascii="Garamond" w:hAnsi="Garamond" w:cstheme="minorHAnsi"/>
        </w:rPr>
        <w:t xml:space="preserve"> q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kishte n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p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rdorim</w:t>
      </w:r>
      <w:r w:rsidR="00656BEF">
        <w:rPr>
          <w:rFonts w:ascii="Garamond" w:hAnsi="Garamond" w:cstheme="minorHAnsi"/>
        </w:rPr>
        <w:t>,</w:t>
      </w:r>
      <w:r w:rsidR="006B3B4E" w:rsidRPr="0046164E">
        <w:rPr>
          <w:rFonts w:ascii="Garamond" w:hAnsi="Garamond" w:cstheme="minorHAnsi"/>
        </w:rPr>
        <w:t xml:space="preserve"> si edhe praktik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s s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saj gjyq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sore (shih, ve</w:t>
      </w:r>
      <w:r w:rsidR="001F179F" w:rsidRPr="0046164E">
        <w:rPr>
          <w:rFonts w:ascii="Garamond" w:hAnsi="Garamond" w:cstheme="minorHAnsi"/>
        </w:rPr>
        <w:t>ç</w:t>
      </w:r>
      <w:r w:rsidR="006B3B4E" w:rsidRPr="0046164E">
        <w:rPr>
          <w:rFonts w:ascii="Garamond" w:hAnsi="Garamond" w:cstheme="minorHAnsi"/>
        </w:rPr>
        <w:t>an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risht, </w:t>
      </w:r>
      <w:r w:rsidR="006B3B4E" w:rsidRPr="0046164E">
        <w:rPr>
          <w:rFonts w:ascii="Garamond" w:hAnsi="Garamond" w:cstheme="minorHAnsi"/>
          <w:i/>
          <w:iCs/>
        </w:rPr>
        <w:t>Luli dhe t</w:t>
      </w:r>
      <w:r w:rsidR="001F179F" w:rsidRPr="0046164E">
        <w:rPr>
          <w:rFonts w:ascii="Garamond" w:hAnsi="Garamond" w:cstheme="minorHAnsi"/>
          <w:i/>
          <w:iCs/>
        </w:rPr>
        <w:t>ë</w:t>
      </w:r>
      <w:r w:rsidR="006B3B4E" w:rsidRPr="0046164E">
        <w:rPr>
          <w:rFonts w:ascii="Garamond" w:hAnsi="Garamond" w:cstheme="minorHAnsi"/>
          <w:i/>
          <w:iCs/>
        </w:rPr>
        <w:t xml:space="preserve"> </w:t>
      </w:r>
      <w:r w:rsidR="00D174AC">
        <w:rPr>
          <w:rFonts w:ascii="Garamond" w:hAnsi="Garamond" w:cstheme="minorHAnsi"/>
          <w:i/>
          <w:iCs/>
        </w:rPr>
        <w:t>t</w:t>
      </w:r>
      <w:r w:rsidR="006B3B4E" w:rsidRPr="0046164E">
        <w:rPr>
          <w:rFonts w:ascii="Garamond" w:hAnsi="Garamond" w:cstheme="minorHAnsi"/>
          <w:i/>
          <w:iCs/>
        </w:rPr>
        <w:t>jer</w:t>
      </w:r>
      <w:r w:rsidR="001F179F" w:rsidRPr="0046164E">
        <w:rPr>
          <w:rFonts w:ascii="Garamond" w:hAnsi="Garamond" w:cstheme="minorHAnsi"/>
          <w:i/>
          <w:iCs/>
        </w:rPr>
        <w:t>ë</w:t>
      </w:r>
      <w:r w:rsidR="006B3B4E" w:rsidRPr="0046164E">
        <w:rPr>
          <w:rFonts w:ascii="Garamond" w:hAnsi="Garamond" w:cstheme="minorHAnsi"/>
          <w:i/>
          <w:iCs/>
        </w:rPr>
        <w:t>t</w:t>
      </w:r>
      <w:r w:rsidR="006B3B4E" w:rsidRPr="0046164E">
        <w:rPr>
          <w:rFonts w:ascii="Garamond" w:hAnsi="Garamond" w:cstheme="minorHAnsi"/>
        </w:rPr>
        <w:t xml:space="preserve"> dhe </w:t>
      </w:r>
      <w:proofErr w:type="spellStart"/>
      <w:r w:rsidR="006B3B4E" w:rsidRPr="0046164E">
        <w:rPr>
          <w:rFonts w:ascii="Garamond" w:hAnsi="Garamond" w:cstheme="minorHAnsi"/>
          <w:i/>
          <w:iCs/>
        </w:rPr>
        <w:t>Mishgjoni</w:t>
      </w:r>
      <w:proofErr w:type="spellEnd"/>
      <w:r w:rsidR="006B3B4E" w:rsidRPr="0046164E">
        <w:rPr>
          <w:rFonts w:ascii="Garamond" w:hAnsi="Garamond" w:cstheme="minorHAnsi"/>
        </w:rPr>
        <w:t>, cituar m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sip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r), Gjykata e gjykon me vend q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akordoj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shumat e p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rcaktuara n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tabel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n bashk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lidhur. </w:t>
      </w:r>
    </w:p>
    <w:p w14:paraId="4CA0468D" w14:textId="4FC87F50" w:rsidR="00DF2489" w:rsidRPr="0046164E" w:rsidRDefault="00DF2489" w:rsidP="0046164E">
      <w:pPr>
        <w:pStyle w:val="JuPara"/>
        <w:rPr>
          <w:rFonts w:ascii="Garamond" w:hAnsi="Garamond" w:cstheme="minorHAnsi"/>
        </w:rPr>
      </w:pPr>
      <w:r w:rsidRPr="0046164E">
        <w:rPr>
          <w:rFonts w:ascii="Garamond" w:hAnsi="Garamond" w:cstheme="minorHAnsi"/>
        </w:rPr>
        <w:t>P</w:t>
      </w:r>
      <w:r w:rsidR="00871502" w:rsidRPr="0046164E">
        <w:rPr>
          <w:rFonts w:ascii="Garamond" w:hAnsi="Garamond" w:cstheme="minorHAnsi"/>
        </w:rPr>
        <w:t>Ë</w:t>
      </w:r>
      <w:r w:rsidRPr="0046164E">
        <w:rPr>
          <w:rFonts w:ascii="Garamond" w:hAnsi="Garamond" w:cstheme="minorHAnsi"/>
        </w:rPr>
        <w:t>R K</w:t>
      </w:r>
      <w:r w:rsidR="00871502" w:rsidRPr="0046164E">
        <w:rPr>
          <w:rFonts w:ascii="Garamond" w:hAnsi="Garamond" w:cstheme="minorHAnsi"/>
        </w:rPr>
        <w:t>Ë</w:t>
      </w:r>
      <w:r w:rsidRPr="0046164E">
        <w:rPr>
          <w:rFonts w:ascii="Garamond" w:hAnsi="Garamond" w:cstheme="minorHAnsi"/>
        </w:rPr>
        <w:t>TO ARSYE, GJYKATA</w:t>
      </w:r>
      <w:r w:rsidR="006B3B4E" w:rsidRPr="0046164E">
        <w:rPr>
          <w:rFonts w:ascii="Garamond" w:hAnsi="Garamond" w:cstheme="minorHAnsi"/>
        </w:rPr>
        <w:t>, N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M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NYR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UNANIME</w:t>
      </w:r>
      <w:r w:rsidRPr="0046164E">
        <w:rPr>
          <w:rFonts w:ascii="Garamond" w:hAnsi="Garamond" w:cstheme="minorHAnsi"/>
        </w:rPr>
        <w:t xml:space="preserve">: </w:t>
      </w:r>
    </w:p>
    <w:p w14:paraId="3BB763CA" w14:textId="4B9CEF39" w:rsidR="00DF2489" w:rsidRPr="0046164E" w:rsidRDefault="0046164E" w:rsidP="0046164E">
      <w:pPr>
        <w:pStyle w:val="JuPara"/>
        <w:rPr>
          <w:rFonts w:ascii="Garamond" w:hAnsi="Garamond" w:cstheme="minorHAnsi"/>
        </w:rPr>
      </w:pPr>
      <w:r w:rsidRPr="0046164E">
        <w:rPr>
          <w:rFonts w:ascii="Garamond" w:hAnsi="Garamond" w:cstheme="minorHAnsi"/>
          <w:i/>
          <w:iCs/>
        </w:rPr>
        <w:t xml:space="preserve">1. </w:t>
      </w:r>
      <w:r w:rsidR="00DF2489" w:rsidRPr="0046164E">
        <w:rPr>
          <w:rFonts w:ascii="Garamond" w:hAnsi="Garamond" w:cstheme="minorHAnsi"/>
          <w:i/>
          <w:iCs/>
        </w:rPr>
        <w:t xml:space="preserve">Vendos </w:t>
      </w:r>
      <w:r w:rsidR="00DF2489" w:rsidRPr="0046164E">
        <w:rPr>
          <w:rFonts w:ascii="Garamond" w:hAnsi="Garamond" w:cstheme="minorHAnsi"/>
        </w:rPr>
        <w:t>t’i bashkoj</w:t>
      </w:r>
      <w:r w:rsidR="00871502" w:rsidRPr="0046164E">
        <w:rPr>
          <w:rFonts w:ascii="Garamond" w:hAnsi="Garamond" w:cstheme="minorHAnsi"/>
        </w:rPr>
        <w:t>ë</w:t>
      </w:r>
      <w:r w:rsidR="00DF2489" w:rsidRPr="0046164E">
        <w:rPr>
          <w:rFonts w:ascii="Garamond" w:hAnsi="Garamond" w:cstheme="minorHAnsi"/>
        </w:rPr>
        <w:t xml:space="preserve"> k</w:t>
      </w:r>
      <w:r w:rsidR="00871502" w:rsidRPr="0046164E">
        <w:rPr>
          <w:rFonts w:ascii="Garamond" w:hAnsi="Garamond" w:cstheme="minorHAnsi"/>
        </w:rPr>
        <w:t>ë</w:t>
      </w:r>
      <w:r w:rsidR="00DF2489" w:rsidRPr="0046164E">
        <w:rPr>
          <w:rFonts w:ascii="Garamond" w:hAnsi="Garamond" w:cstheme="minorHAnsi"/>
        </w:rPr>
        <w:t xml:space="preserve">rkesat; </w:t>
      </w:r>
    </w:p>
    <w:p w14:paraId="3265D0F4" w14:textId="0CC21968" w:rsidR="006B3B4E" w:rsidRPr="0046164E" w:rsidRDefault="0046164E" w:rsidP="0046164E">
      <w:pPr>
        <w:pStyle w:val="JuPara"/>
        <w:rPr>
          <w:rFonts w:ascii="Garamond" w:hAnsi="Garamond" w:cstheme="minorHAnsi"/>
        </w:rPr>
      </w:pPr>
      <w:r w:rsidRPr="0046164E">
        <w:rPr>
          <w:rFonts w:ascii="Garamond" w:hAnsi="Garamond" w:cstheme="minorHAnsi"/>
          <w:i/>
          <w:iCs/>
        </w:rPr>
        <w:t xml:space="preserve">2. </w:t>
      </w:r>
      <w:r w:rsidR="00DF2489" w:rsidRPr="0046164E">
        <w:rPr>
          <w:rFonts w:ascii="Garamond" w:hAnsi="Garamond" w:cstheme="minorHAnsi"/>
          <w:i/>
          <w:iCs/>
        </w:rPr>
        <w:t xml:space="preserve">I shpall </w:t>
      </w:r>
      <w:r w:rsidR="00DF2489" w:rsidRPr="0046164E">
        <w:rPr>
          <w:rFonts w:ascii="Garamond" w:hAnsi="Garamond" w:cstheme="minorHAnsi"/>
        </w:rPr>
        <w:t>ankesat e k</w:t>
      </w:r>
      <w:r w:rsidR="00871502" w:rsidRPr="0046164E">
        <w:rPr>
          <w:rFonts w:ascii="Garamond" w:hAnsi="Garamond" w:cstheme="minorHAnsi"/>
        </w:rPr>
        <w:t>ë</w:t>
      </w:r>
      <w:r w:rsidR="00DF2489" w:rsidRPr="0046164E">
        <w:rPr>
          <w:rFonts w:ascii="Garamond" w:hAnsi="Garamond" w:cstheme="minorHAnsi"/>
        </w:rPr>
        <w:t>rkuesve</w:t>
      </w:r>
      <w:r w:rsidR="006B3B4E" w:rsidRPr="0046164E">
        <w:rPr>
          <w:rFonts w:ascii="Garamond" w:hAnsi="Garamond" w:cstheme="minorHAnsi"/>
        </w:rPr>
        <w:t xml:space="preserve"> p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r koh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zgjatje 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procesit civil sipas </w:t>
      </w:r>
      <w:r w:rsidR="002F2567" w:rsidRPr="0046164E">
        <w:rPr>
          <w:rFonts w:ascii="Garamond" w:hAnsi="Garamond" w:cstheme="minorHAnsi"/>
        </w:rPr>
        <w:t xml:space="preserve">nenit </w:t>
      </w:r>
      <w:r w:rsidR="006B3B4E" w:rsidRPr="0046164E">
        <w:rPr>
          <w:rFonts w:ascii="Garamond" w:hAnsi="Garamond" w:cstheme="minorHAnsi"/>
        </w:rPr>
        <w:t>6 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Konvent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s 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pranueshme, dhe vendos se nuk 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sht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e nevojshme q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shqyrtohet ankesa paraqitur n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k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rkes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n nr. 53157/15 n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mb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shtetje 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</w:t>
      </w:r>
      <w:r w:rsidR="002F2567" w:rsidRPr="0046164E">
        <w:rPr>
          <w:rFonts w:ascii="Garamond" w:hAnsi="Garamond" w:cstheme="minorHAnsi"/>
        </w:rPr>
        <w:t xml:space="preserve">nenit </w:t>
      </w:r>
      <w:r w:rsidR="006B3B4E" w:rsidRPr="0046164E">
        <w:rPr>
          <w:rFonts w:ascii="Garamond" w:hAnsi="Garamond" w:cstheme="minorHAnsi"/>
        </w:rPr>
        <w:t>13 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Konvent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s; </w:t>
      </w:r>
    </w:p>
    <w:p w14:paraId="110BC057" w14:textId="5BEA77C4" w:rsidR="006B3B4E" w:rsidRPr="0046164E" w:rsidRDefault="0046164E" w:rsidP="0046164E">
      <w:pPr>
        <w:pStyle w:val="JuPara"/>
        <w:rPr>
          <w:rFonts w:ascii="Garamond" w:hAnsi="Garamond" w:cstheme="minorHAnsi"/>
        </w:rPr>
      </w:pPr>
      <w:r w:rsidRPr="0046164E">
        <w:rPr>
          <w:rFonts w:ascii="Garamond" w:hAnsi="Garamond" w:cstheme="minorHAnsi"/>
          <w:i/>
          <w:iCs/>
        </w:rPr>
        <w:t xml:space="preserve">3. </w:t>
      </w:r>
      <w:r w:rsidR="006B3B4E" w:rsidRPr="0046164E">
        <w:rPr>
          <w:rFonts w:ascii="Garamond" w:hAnsi="Garamond" w:cstheme="minorHAnsi"/>
          <w:i/>
          <w:iCs/>
        </w:rPr>
        <w:t>Gjykon</w:t>
      </w:r>
      <w:r w:rsidR="006B3B4E" w:rsidRPr="0046164E">
        <w:rPr>
          <w:rFonts w:ascii="Garamond" w:hAnsi="Garamond" w:cstheme="minorHAnsi"/>
        </w:rPr>
        <w:t xml:space="preserve"> se k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to k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rkesa paraqesin shkelje 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</w:t>
      </w:r>
      <w:r w:rsidR="002F2567" w:rsidRPr="0046164E">
        <w:rPr>
          <w:rFonts w:ascii="Garamond" w:hAnsi="Garamond" w:cstheme="minorHAnsi"/>
        </w:rPr>
        <w:t xml:space="preserve">nenit </w:t>
      </w:r>
      <w:r w:rsidR="006B3B4E" w:rsidRPr="0046164E">
        <w:rPr>
          <w:rFonts w:ascii="Garamond" w:hAnsi="Garamond" w:cstheme="minorHAnsi"/>
        </w:rPr>
        <w:t>6§1 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Konvent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s n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lidhje me koh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zgjatjen e tep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rt t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 xml:space="preserve"> procesit civil; </w:t>
      </w:r>
    </w:p>
    <w:p w14:paraId="37E588A5" w14:textId="7A6EB4ED" w:rsidR="006B3B4E" w:rsidRPr="0046164E" w:rsidRDefault="0046164E" w:rsidP="0046164E">
      <w:pPr>
        <w:pStyle w:val="JuPara"/>
        <w:rPr>
          <w:rFonts w:ascii="Garamond" w:hAnsi="Garamond" w:cstheme="minorHAnsi"/>
        </w:rPr>
      </w:pPr>
      <w:r w:rsidRPr="0046164E">
        <w:rPr>
          <w:rFonts w:ascii="Garamond" w:hAnsi="Garamond" w:cstheme="minorHAnsi"/>
          <w:i/>
          <w:iCs/>
        </w:rPr>
        <w:t xml:space="preserve">4. </w:t>
      </w:r>
      <w:r w:rsidR="006B3B4E" w:rsidRPr="0046164E">
        <w:rPr>
          <w:rFonts w:ascii="Garamond" w:hAnsi="Garamond" w:cstheme="minorHAnsi"/>
          <w:i/>
          <w:iCs/>
        </w:rPr>
        <w:t>Gjykon</w:t>
      </w:r>
      <w:r w:rsidR="00E02988">
        <w:rPr>
          <w:rFonts w:ascii="Garamond" w:hAnsi="Garamond" w:cstheme="minorHAnsi"/>
          <w:i/>
          <w:iCs/>
        </w:rPr>
        <w:t>:</w:t>
      </w:r>
    </w:p>
    <w:p w14:paraId="532EFD81" w14:textId="0525B5DE" w:rsidR="006B3B4E" w:rsidRPr="0046164E" w:rsidRDefault="0046164E" w:rsidP="0046164E">
      <w:pPr>
        <w:pStyle w:val="JuPara"/>
        <w:rPr>
          <w:rFonts w:ascii="Garamond" w:hAnsi="Garamond" w:cstheme="minorHAnsi"/>
        </w:rPr>
      </w:pPr>
      <w:r w:rsidRPr="0046164E">
        <w:rPr>
          <w:rFonts w:ascii="Garamond" w:hAnsi="Garamond" w:cstheme="minorHAnsi"/>
        </w:rPr>
        <w:t xml:space="preserve">a) </w:t>
      </w:r>
      <w:r w:rsidR="006B3B4E" w:rsidRPr="0046164E">
        <w:rPr>
          <w:rFonts w:ascii="Garamond" w:hAnsi="Garamond" w:cstheme="minorHAnsi"/>
        </w:rPr>
        <w:t>se Shteti p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rgjegj</w:t>
      </w:r>
      <w:r w:rsidR="001F179F" w:rsidRPr="0046164E">
        <w:rPr>
          <w:rFonts w:ascii="Garamond" w:hAnsi="Garamond" w:cstheme="minorHAnsi"/>
        </w:rPr>
        <w:t>ë</w:t>
      </w:r>
      <w:r w:rsidR="006B3B4E" w:rsidRPr="0046164E">
        <w:rPr>
          <w:rFonts w:ascii="Garamond" w:hAnsi="Garamond" w:cstheme="minorHAnsi"/>
        </w:rPr>
        <w:t>s</w:t>
      </w:r>
      <w:r w:rsidR="00B05348" w:rsidRPr="0046164E">
        <w:rPr>
          <w:rFonts w:ascii="Garamond" w:hAnsi="Garamond" w:cstheme="minorHAnsi"/>
        </w:rPr>
        <w:t>, brenda tre muajve, duhet t’u paguaj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 k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rkuesve shumat e p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rcaktuara n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 tabel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n bashk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lidhur, t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 cilat duhet t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 konvertohen n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 monedh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n e Shtetit p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rgjegj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s, n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 norm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n e zbatueshme n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 dat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n e shlyerjes; </w:t>
      </w:r>
    </w:p>
    <w:p w14:paraId="47D69EFA" w14:textId="12BEBDB3" w:rsidR="00B05348" w:rsidRPr="0046164E" w:rsidRDefault="0046164E" w:rsidP="0046164E">
      <w:pPr>
        <w:pStyle w:val="JuPara"/>
        <w:rPr>
          <w:rFonts w:ascii="Garamond" w:hAnsi="Garamond" w:cstheme="minorHAnsi"/>
        </w:rPr>
      </w:pPr>
      <w:r w:rsidRPr="0046164E">
        <w:rPr>
          <w:rFonts w:ascii="Garamond" w:hAnsi="Garamond" w:cstheme="minorHAnsi"/>
        </w:rPr>
        <w:t>b)</w:t>
      </w:r>
      <w:r w:rsidR="00D174AC">
        <w:rPr>
          <w:rFonts w:ascii="Garamond" w:hAnsi="Garamond" w:cstheme="minorHAnsi"/>
        </w:rPr>
        <w:t xml:space="preserve"> </w:t>
      </w:r>
      <w:r w:rsidR="00B05348" w:rsidRPr="0046164E">
        <w:rPr>
          <w:rFonts w:ascii="Garamond" w:hAnsi="Garamond" w:cstheme="minorHAnsi"/>
        </w:rPr>
        <w:t>se q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 prej p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rfundimit t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 periudh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s tremujore p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rmendur m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 sip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r deri n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 shlyerje, duhet t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 paguhet nj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 interes i thjesht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 p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r shumat e m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sip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rme n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 norm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n e barasvlershme me norm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n margjinale t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 huadh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nies t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 Bank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s Qendrore Evropiane gjat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 periudh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s s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 vones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s s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 pages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s plus tre p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>r qind pik</w:t>
      </w:r>
      <w:r w:rsidR="001F179F" w:rsidRPr="0046164E">
        <w:rPr>
          <w:rFonts w:ascii="Garamond" w:hAnsi="Garamond" w:cstheme="minorHAnsi"/>
        </w:rPr>
        <w:t>ë</w:t>
      </w:r>
      <w:r w:rsidR="00B05348" w:rsidRPr="0046164E">
        <w:rPr>
          <w:rFonts w:ascii="Garamond" w:hAnsi="Garamond" w:cstheme="minorHAnsi"/>
        </w:rPr>
        <w:t xml:space="preserve">. </w:t>
      </w:r>
    </w:p>
    <w:p w14:paraId="193635E7" w14:textId="6726E8B3" w:rsidR="00D073B1" w:rsidRPr="0046164E" w:rsidRDefault="00D073B1" w:rsidP="0046164E">
      <w:pPr>
        <w:pStyle w:val="JuPara"/>
        <w:rPr>
          <w:rFonts w:ascii="Garamond" w:hAnsi="Garamond" w:cstheme="minorHAnsi"/>
        </w:rPr>
      </w:pPr>
      <w:r w:rsidRPr="0046164E">
        <w:rPr>
          <w:rFonts w:ascii="Garamond" w:hAnsi="Garamond"/>
        </w:rPr>
        <w:t>Hartuar n</w:t>
      </w:r>
      <w:r w:rsidR="00FC640C" w:rsidRPr="0046164E">
        <w:rPr>
          <w:rFonts w:ascii="Garamond" w:hAnsi="Garamond"/>
        </w:rPr>
        <w:t>ë</w:t>
      </w:r>
      <w:r w:rsidRPr="0046164E">
        <w:rPr>
          <w:rFonts w:ascii="Garamond" w:hAnsi="Garamond"/>
        </w:rPr>
        <w:t xml:space="preserve"> ang</w:t>
      </w:r>
      <w:r w:rsidR="00F44415" w:rsidRPr="0046164E">
        <w:rPr>
          <w:rFonts w:ascii="Garamond" w:hAnsi="Garamond"/>
        </w:rPr>
        <w:t>l</w:t>
      </w:r>
      <w:r w:rsidRPr="0046164E">
        <w:rPr>
          <w:rFonts w:ascii="Garamond" w:hAnsi="Garamond"/>
        </w:rPr>
        <w:t>isht dhe njoftuar</w:t>
      </w:r>
      <w:r w:rsidR="0099219A" w:rsidRPr="0046164E">
        <w:rPr>
          <w:rFonts w:ascii="Garamond" w:hAnsi="Garamond"/>
        </w:rPr>
        <w:t xml:space="preserve"> </w:t>
      </w:r>
      <w:r w:rsidRPr="0046164E">
        <w:rPr>
          <w:rFonts w:ascii="Garamond" w:hAnsi="Garamond"/>
        </w:rPr>
        <w:t xml:space="preserve"> me shkrim m</w:t>
      </w:r>
      <w:r w:rsidR="00FC640C" w:rsidRPr="0046164E">
        <w:rPr>
          <w:rFonts w:ascii="Garamond" w:hAnsi="Garamond"/>
        </w:rPr>
        <w:t>ë</w:t>
      </w:r>
      <w:r w:rsidRPr="0046164E">
        <w:rPr>
          <w:rFonts w:ascii="Garamond" w:hAnsi="Garamond"/>
        </w:rPr>
        <w:t xml:space="preserve"> </w:t>
      </w:r>
      <w:r w:rsidR="00B05348" w:rsidRPr="0046164E">
        <w:rPr>
          <w:rFonts w:ascii="Garamond" w:hAnsi="Garamond"/>
        </w:rPr>
        <w:t xml:space="preserve">22 </w:t>
      </w:r>
      <w:r w:rsidR="00D174AC">
        <w:rPr>
          <w:rFonts w:ascii="Garamond" w:hAnsi="Garamond"/>
        </w:rPr>
        <w:t>q</w:t>
      </w:r>
      <w:r w:rsidR="00B05348" w:rsidRPr="0046164E">
        <w:rPr>
          <w:rFonts w:ascii="Garamond" w:hAnsi="Garamond"/>
        </w:rPr>
        <w:t>ershor 2023</w:t>
      </w:r>
      <w:r w:rsidRPr="0046164E">
        <w:rPr>
          <w:rFonts w:ascii="Garamond" w:hAnsi="Garamond"/>
        </w:rPr>
        <w:t xml:space="preserve">, sipas Rregullit 77 </w:t>
      </w:r>
      <w:r w:rsidRPr="0046164E">
        <w:rPr>
          <w:rFonts w:ascii="Garamond" w:hAnsi="Garamond" w:cstheme="minorHAnsi"/>
        </w:rPr>
        <w:t>§§ 2 dhe 3 t</w:t>
      </w:r>
      <w:r w:rsidR="00FC640C" w:rsidRPr="0046164E">
        <w:rPr>
          <w:rFonts w:ascii="Garamond" w:hAnsi="Garamond" w:cstheme="minorHAnsi"/>
        </w:rPr>
        <w:t>ë</w:t>
      </w:r>
      <w:r w:rsidRPr="0046164E">
        <w:rPr>
          <w:rFonts w:ascii="Garamond" w:hAnsi="Garamond" w:cstheme="minorHAnsi"/>
        </w:rPr>
        <w:t xml:space="preserve"> Rregullores s</w:t>
      </w:r>
      <w:r w:rsidR="00FC640C" w:rsidRPr="0046164E">
        <w:rPr>
          <w:rFonts w:ascii="Garamond" w:hAnsi="Garamond" w:cstheme="minorHAnsi"/>
        </w:rPr>
        <w:t>ë</w:t>
      </w:r>
      <w:r w:rsidRPr="0046164E">
        <w:rPr>
          <w:rFonts w:ascii="Garamond" w:hAnsi="Garamond" w:cstheme="minorHAnsi"/>
        </w:rPr>
        <w:t xml:space="preserve"> Gjykat</w:t>
      </w:r>
      <w:r w:rsidR="00FC640C" w:rsidRPr="0046164E">
        <w:rPr>
          <w:rFonts w:ascii="Garamond" w:hAnsi="Garamond" w:cstheme="minorHAnsi"/>
        </w:rPr>
        <w:t>ë</w:t>
      </w:r>
      <w:r w:rsidRPr="0046164E">
        <w:rPr>
          <w:rFonts w:ascii="Garamond" w:hAnsi="Garamond" w:cstheme="minorHAnsi"/>
        </w:rPr>
        <w:t xml:space="preserve">s. </w:t>
      </w:r>
    </w:p>
    <w:p w14:paraId="5D565A9D" w14:textId="77777777" w:rsidR="00D073B1" w:rsidRPr="0046164E" w:rsidRDefault="00D073B1" w:rsidP="0046164E">
      <w:pPr>
        <w:pStyle w:val="JuPara"/>
        <w:rPr>
          <w:rFonts w:ascii="Garamond" w:hAnsi="Garamond"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544"/>
      </w:tblGrid>
      <w:tr w:rsidR="0046164E" w14:paraId="28926D93" w14:textId="77777777" w:rsidTr="0046164E">
        <w:trPr>
          <w:jc w:val="center"/>
        </w:trPr>
        <w:tc>
          <w:tcPr>
            <w:tcW w:w="4248" w:type="dxa"/>
          </w:tcPr>
          <w:p w14:paraId="60AED433" w14:textId="0528AF7A" w:rsidR="0046164E" w:rsidRPr="0046164E" w:rsidRDefault="0046164E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</w:rPr>
            </w:pPr>
            <w:r w:rsidRPr="0046164E">
              <w:rPr>
                <w:rFonts w:ascii="Garamond" w:hAnsi="Garamond" w:cstheme="minorHAnsi"/>
                <w:b/>
              </w:rPr>
              <w:t>Viktoriya Maradudina</w:t>
            </w:r>
          </w:p>
        </w:tc>
        <w:tc>
          <w:tcPr>
            <w:tcW w:w="3544" w:type="dxa"/>
          </w:tcPr>
          <w:p w14:paraId="2E0FA0A4" w14:textId="2D04F84C" w:rsidR="0046164E" w:rsidRPr="0046164E" w:rsidRDefault="0046164E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</w:rPr>
            </w:pPr>
            <w:r w:rsidRPr="0046164E">
              <w:rPr>
                <w:rFonts w:ascii="Garamond" w:hAnsi="Garamond" w:cstheme="minorHAnsi"/>
                <w:b/>
              </w:rPr>
              <w:t>Ioannis Ktistakis</w:t>
            </w:r>
          </w:p>
        </w:tc>
      </w:tr>
      <w:tr w:rsidR="0046164E" w14:paraId="39057084" w14:textId="77777777" w:rsidTr="0046164E">
        <w:trPr>
          <w:jc w:val="center"/>
        </w:trPr>
        <w:tc>
          <w:tcPr>
            <w:tcW w:w="4248" w:type="dxa"/>
          </w:tcPr>
          <w:p w14:paraId="14826A82" w14:textId="1DA3E7DF" w:rsidR="0046164E" w:rsidRDefault="0046164E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</w:rPr>
            </w:pPr>
            <w:r w:rsidRPr="0046164E">
              <w:rPr>
                <w:rFonts w:ascii="Garamond" w:hAnsi="Garamond" w:cstheme="minorHAnsi"/>
              </w:rPr>
              <w:t>ZËVENDËSREGJISTRAR I PËRKOHSHËM</w:t>
            </w:r>
          </w:p>
        </w:tc>
        <w:tc>
          <w:tcPr>
            <w:tcW w:w="3544" w:type="dxa"/>
          </w:tcPr>
          <w:p w14:paraId="6A3CC95A" w14:textId="08D3405E" w:rsidR="0046164E" w:rsidRDefault="0046164E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</w:rPr>
            </w:pPr>
            <w:r w:rsidRPr="0046164E">
              <w:rPr>
                <w:rFonts w:ascii="Garamond" w:hAnsi="Garamond" w:cstheme="minorHAnsi"/>
              </w:rPr>
              <w:t>KRYETAR</w:t>
            </w:r>
          </w:p>
        </w:tc>
      </w:tr>
    </w:tbl>
    <w:p w14:paraId="15027BCC" w14:textId="77777777" w:rsidR="0046164E" w:rsidRDefault="0046164E" w:rsidP="0046164E">
      <w:pPr>
        <w:pStyle w:val="JuPara"/>
        <w:jc w:val="center"/>
        <w:rPr>
          <w:rFonts w:ascii="Garamond" w:hAnsi="Garamond" w:cstheme="minorHAnsi"/>
        </w:rPr>
      </w:pPr>
    </w:p>
    <w:p w14:paraId="655938C3" w14:textId="2AE387FA" w:rsidR="007111DD" w:rsidRPr="0046164E" w:rsidRDefault="007111DD" w:rsidP="0046164E">
      <w:pPr>
        <w:pStyle w:val="JuPara"/>
        <w:rPr>
          <w:rFonts w:ascii="Garamond" w:hAnsi="Garamond" w:cstheme="minorHAnsi"/>
        </w:rPr>
      </w:pPr>
    </w:p>
    <w:p w14:paraId="1EA0550E" w14:textId="77777777" w:rsidR="00B05348" w:rsidRPr="0046164E" w:rsidRDefault="00B05348" w:rsidP="0046164E">
      <w:pPr>
        <w:pStyle w:val="JuPara"/>
        <w:rPr>
          <w:rFonts w:ascii="Garamond" w:hAnsi="Garamond" w:cstheme="minorHAnsi"/>
          <w:iCs/>
        </w:rPr>
        <w:sectPr w:rsidR="00B05348" w:rsidRPr="0046164E" w:rsidSect="005C6CA3">
          <w:headerReference w:type="default" r:id="rId14"/>
          <w:endnotePr>
            <w:numFmt w:val="decimal"/>
          </w:endnotePr>
          <w:pgSz w:w="11906" w:h="16838" w:code="9"/>
          <w:pgMar w:top="2274" w:right="1826" w:bottom="2274" w:left="1440" w:header="1701" w:footer="720" w:gutter="0"/>
          <w:cols w:space="720"/>
          <w:titlePg/>
          <w:docGrid w:linePitch="326"/>
        </w:sectPr>
      </w:pPr>
    </w:p>
    <w:p w14:paraId="24568059" w14:textId="06946C86" w:rsidR="00871502" w:rsidRPr="0075691D" w:rsidRDefault="0075691D" w:rsidP="0046164E">
      <w:pPr>
        <w:pStyle w:val="JuPara"/>
        <w:jc w:val="center"/>
        <w:rPr>
          <w:rFonts w:ascii="Garamond" w:hAnsi="Garamond" w:cstheme="minorHAnsi"/>
          <w:bCs/>
          <w:iCs/>
          <w:sz w:val="20"/>
        </w:rPr>
      </w:pPr>
      <w:r w:rsidRPr="0075691D">
        <w:rPr>
          <w:rFonts w:ascii="Garamond" w:hAnsi="Garamond" w:cstheme="minorHAnsi"/>
          <w:bCs/>
          <w:iCs/>
          <w:sz w:val="20"/>
        </w:rPr>
        <w:lastRenderedPageBreak/>
        <w:t>SHTOJCË</w:t>
      </w:r>
    </w:p>
    <w:p w14:paraId="380AD406" w14:textId="24BDA647" w:rsidR="00871502" w:rsidRPr="0075691D" w:rsidRDefault="0075691D" w:rsidP="0046164E">
      <w:pPr>
        <w:pStyle w:val="JuPara"/>
        <w:jc w:val="center"/>
        <w:rPr>
          <w:rFonts w:ascii="Garamond" w:hAnsi="Garamond" w:cstheme="minorHAnsi"/>
          <w:iCs/>
          <w:sz w:val="20"/>
        </w:rPr>
      </w:pPr>
      <w:r w:rsidRPr="0075691D">
        <w:rPr>
          <w:rFonts w:ascii="Garamond" w:hAnsi="Garamond" w:cstheme="minorHAnsi"/>
          <w:iCs/>
          <w:sz w:val="20"/>
        </w:rPr>
        <w:t>LISTA E KËRKUESVE QË PARAQESIN ANKESAT NË MBËSHTETJE TË NENIT 6 § 1 TË KONVENTËS</w:t>
      </w:r>
    </w:p>
    <w:p w14:paraId="7BE35D08" w14:textId="4D90618C" w:rsidR="00871502" w:rsidRPr="0075691D" w:rsidRDefault="0075691D" w:rsidP="00C215B7">
      <w:pPr>
        <w:pStyle w:val="JuPara"/>
        <w:jc w:val="center"/>
        <w:rPr>
          <w:rFonts w:ascii="Garamond" w:hAnsi="Garamond" w:cstheme="minorHAnsi"/>
          <w:iCs/>
          <w:sz w:val="20"/>
        </w:rPr>
      </w:pPr>
      <w:r w:rsidRPr="0075691D">
        <w:rPr>
          <w:rFonts w:ascii="Garamond" w:hAnsi="Garamond" w:cstheme="minorHAnsi"/>
          <w:iCs/>
          <w:sz w:val="20"/>
        </w:rPr>
        <w:t>(KOHËZGJATJE E TEPËRT E PROCESIT CIVIL)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1347"/>
        <w:gridCol w:w="1823"/>
        <w:gridCol w:w="1505"/>
        <w:gridCol w:w="1940"/>
        <w:gridCol w:w="1212"/>
        <w:gridCol w:w="1350"/>
        <w:gridCol w:w="1260"/>
        <w:gridCol w:w="1305"/>
      </w:tblGrid>
      <w:tr w:rsidR="00C215B7" w:rsidRPr="0046164E" w14:paraId="02C724E5" w14:textId="7BF98E18" w:rsidTr="00C215B7">
        <w:tc>
          <w:tcPr>
            <w:tcW w:w="538" w:type="dxa"/>
          </w:tcPr>
          <w:p w14:paraId="0921541B" w14:textId="6432ED58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Nr.</w:t>
            </w:r>
          </w:p>
        </w:tc>
        <w:tc>
          <w:tcPr>
            <w:tcW w:w="1347" w:type="dxa"/>
          </w:tcPr>
          <w:p w14:paraId="65DB6230" w14:textId="09794B68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K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rkesa nr.</w:t>
            </w:r>
            <w:r w:rsidR="00C215B7">
              <w:rPr>
                <w:rFonts w:ascii="Garamond" w:hAnsi="Garamond" w:cstheme="minorHAnsi"/>
                <w:b/>
                <w:bCs/>
                <w:iCs/>
                <w:sz w:val="20"/>
              </w:rPr>
              <w:t xml:space="preserve"> ,</w:t>
            </w:r>
          </w:p>
          <w:p w14:paraId="5CE449D9" w14:textId="1A9A08F5" w:rsidR="0016586B" w:rsidRPr="0046164E" w:rsidRDefault="00C215B7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>
              <w:rPr>
                <w:rFonts w:ascii="Garamond" w:hAnsi="Garamond" w:cstheme="minorHAnsi"/>
                <w:b/>
                <w:bCs/>
                <w:iCs/>
                <w:sz w:val="20"/>
              </w:rPr>
              <w:t>d</w:t>
            </w:r>
            <w:r w:rsidR="0016586B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ata e dor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="0016586B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zimit</w:t>
            </w:r>
          </w:p>
        </w:tc>
        <w:tc>
          <w:tcPr>
            <w:tcW w:w="1823" w:type="dxa"/>
          </w:tcPr>
          <w:p w14:paraId="0FEFE17C" w14:textId="10C82775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Emri i kërkuesit</w:t>
            </w:r>
          </w:p>
          <w:p w14:paraId="5EA43306" w14:textId="5609200D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Viti i lindjes/regjistrimit</w:t>
            </w:r>
          </w:p>
        </w:tc>
        <w:tc>
          <w:tcPr>
            <w:tcW w:w="1505" w:type="dxa"/>
          </w:tcPr>
          <w:p w14:paraId="5C465541" w14:textId="63FDD47A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Emri dhe vendndodhja e p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rfaq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suesit</w:t>
            </w:r>
          </w:p>
        </w:tc>
        <w:tc>
          <w:tcPr>
            <w:tcW w:w="1940" w:type="dxa"/>
          </w:tcPr>
          <w:p w14:paraId="6DF1C820" w14:textId="77777777" w:rsidR="00C215B7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Nisja e procesit ose data e hyrjes n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 xml:space="preserve"> fuqi t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 xml:space="preserve"> Konvent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s p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r Shqip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rin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 xml:space="preserve"> </w:t>
            </w:r>
          </w:p>
          <w:p w14:paraId="114183EB" w14:textId="5336874F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 xml:space="preserve">(2 </w:t>
            </w:r>
            <w:r w:rsidR="00C215B7">
              <w:rPr>
                <w:rFonts w:ascii="Garamond" w:hAnsi="Garamond" w:cstheme="minorHAnsi"/>
                <w:b/>
                <w:bCs/>
                <w:iCs/>
                <w:sz w:val="20"/>
              </w:rPr>
              <w:t>t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etor 1996)</w:t>
            </w:r>
          </w:p>
        </w:tc>
        <w:tc>
          <w:tcPr>
            <w:tcW w:w="1212" w:type="dxa"/>
          </w:tcPr>
          <w:p w14:paraId="196E9807" w14:textId="65E7312A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P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rfundimi i procesit</w:t>
            </w:r>
          </w:p>
        </w:tc>
        <w:tc>
          <w:tcPr>
            <w:tcW w:w="1350" w:type="dxa"/>
          </w:tcPr>
          <w:p w14:paraId="5C94FE9A" w14:textId="72C83546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Koh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zgjatja n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 xml:space="preserve"> total</w:t>
            </w:r>
          </w:p>
          <w:p w14:paraId="42CB0D39" w14:textId="01DE32AF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Nivelet e juridiksionit</w:t>
            </w:r>
          </w:p>
        </w:tc>
        <w:tc>
          <w:tcPr>
            <w:tcW w:w="1260" w:type="dxa"/>
          </w:tcPr>
          <w:p w14:paraId="0F693787" w14:textId="6F975913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Shuma akorduar p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r d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 xml:space="preserve">m </w:t>
            </w:r>
            <w:proofErr w:type="spellStart"/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jopasuror</w:t>
            </w:r>
            <w:proofErr w:type="spellEnd"/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 xml:space="preserve"> p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r k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rkues (n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 xml:space="preserve"> euro)</w:t>
            </w:r>
            <w:r w:rsidRPr="0046164E">
              <w:rPr>
                <w:rStyle w:val="FootnoteReference"/>
                <w:rFonts w:ascii="Garamond" w:hAnsi="Garamond" w:cstheme="minorHAnsi"/>
                <w:b/>
                <w:bCs/>
                <w:iCs/>
                <w:sz w:val="20"/>
              </w:rPr>
              <w:footnoteReference w:id="2"/>
            </w:r>
          </w:p>
        </w:tc>
        <w:tc>
          <w:tcPr>
            <w:tcW w:w="1305" w:type="dxa"/>
          </w:tcPr>
          <w:p w14:paraId="2FCD1EE4" w14:textId="6F56D80E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Shuma akorduar p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r kostot dhe shpenzimet p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r k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rkes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 xml:space="preserve"> (n</w:t>
            </w:r>
            <w:r w:rsidR="001F179F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 xml:space="preserve"> euro)</w:t>
            </w:r>
            <w:r w:rsidRPr="0046164E">
              <w:rPr>
                <w:rStyle w:val="FootnoteReference"/>
                <w:rFonts w:ascii="Garamond" w:hAnsi="Garamond" w:cstheme="minorHAnsi"/>
                <w:b/>
                <w:bCs/>
                <w:iCs/>
                <w:sz w:val="20"/>
              </w:rPr>
              <w:footnoteReference w:id="3"/>
            </w:r>
          </w:p>
        </w:tc>
      </w:tr>
      <w:tr w:rsidR="00C215B7" w:rsidRPr="0046164E" w14:paraId="674646A2" w14:textId="6B26D815" w:rsidTr="00C215B7">
        <w:tc>
          <w:tcPr>
            <w:tcW w:w="538" w:type="dxa"/>
          </w:tcPr>
          <w:p w14:paraId="2CDF08DC" w14:textId="0161BB62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46164E">
              <w:rPr>
                <w:rFonts w:ascii="Garamond" w:hAnsi="Garamond" w:cstheme="minorHAnsi"/>
                <w:iCs/>
                <w:sz w:val="20"/>
              </w:rPr>
              <w:t>1</w:t>
            </w:r>
          </w:p>
        </w:tc>
        <w:tc>
          <w:tcPr>
            <w:tcW w:w="1347" w:type="dxa"/>
          </w:tcPr>
          <w:p w14:paraId="3FDFA837" w14:textId="77777777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46164E">
              <w:rPr>
                <w:rFonts w:ascii="Garamond" w:hAnsi="Garamond" w:cstheme="minorHAnsi"/>
                <w:iCs/>
                <w:sz w:val="20"/>
              </w:rPr>
              <w:t>61445/12</w:t>
            </w:r>
          </w:p>
          <w:p w14:paraId="265373AF" w14:textId="615B6FED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46164E">
              <w:rPr>
                <w:rFonts w:ascii="Garamond" w:hAnsi="Garamond" w:cstheme="minorHAnsi"/>
                <w:iCs/>
                <w:sz w:val="20"/>
              </w:rPr>
              <w:t>18</w:t>
            </w:r>
            <w:r w:rsidR="002F2567">
              <w:rPr>
                <w:rFonts w:ascii="Garamond" w:hAnsi="Garamond" w:cstheme="minorHAnsi"/>
                <w:iCs/>
                <w:sz w:val="20"/>
              </w:rPr>
              <w:t>.</w:t>
            </w:r>
            <w:r w:rsidRPr="0046164E">
              <w:rPr>
                <w:rFonts w:ascii="Garamond" w:hAnsi="Garamond" w:cstheme="minorHAnsi"/>
                <w:iCs/>
                <w:sz w:val="20"/>
              </w:rPr>
              <w:t>9</w:t>
            </w:r>
            <w:r w:rsidR="002F2567">
              <w:rPr>
                <w:rFonts w:ascii="Garamond" w:hAnsi="Garamond" w:cstheme="minorHAnsi"/>
                <w:iCs/>
                <w:sz w:val="20"/>
              </w:rPr>
              <w:t>.</w:t>
            </w:r>
            <w:r w:rsidRPr="0046164E">
              <w:rPr>
                <w:rFonts w:ascii="Garamond" w:hAnsi="Garamond" w:cstheme="minorHAnsi"/>
                <w:iCs/>
                <w:sz w:val="20"/>
              </w:rPr>
              <w:t>2012</w:t>
            </w:r>
          </w:p>
        </w:tc>
        <w:tc>
          <w:tcPr>
            <w:tcW w:w="1823" w:type="dxa"/>
          </w:tcPr>
          <w:p w14:paraId="4B4AB4FD" w14:textId="77777777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Enver Zeqo</w:t>
            </w:r>
          </w:p>
          <w:p w14:paraId="0363A516" w14:textId="4EEC40BF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46164E">
              <w:rPr>
                <w:rFonts w:ascii="Garamond" w:hAnsi="Garamond" w:cstheme="minorHAnsi"/>
                <w:iCs/>
                <w:sz w:val="20"/>
              </w:rPr>
              <w:t>1963</w:t>
            </w:r>
          </w:p>
        </w:tc>
        <w:tc>
          <w:tcPr>
            <w:tcW w:w="1505" w:type="dxa"/>
          </w:tcPr>
          <w:p w14:paraId="20C0FA36" w14:textId="3FE0D1C2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</w:p>
        </w:tc>
        <w:tc>
          <w:tcPr>
            <w:tcW w:w="1940" w:type="dxa"/>
          </w:tcPr>
          <w:p w14:paraId="264BAC75" w14:textId="08626DBD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46164E">
              <w:rPr>
                <w:rFonts w:ascii="Garamond" w:hAnsi="Garamond" w:cstheme="minorHAnsi"/>
                <w:iCs/>
                <w:sz w:val="20"/>
              </w:rPr>
              <w:t>9</w:t>
            </w:r>
            <w:r w:rsidR="00C215B7">
              <w:rPr>
                <w:rFonts w:ascii="Garamond" w:hAnsi="Garamond" w:cstheme="minorHAnsi"/>
                <w:iCs/>
                <w:sz w:val="20"/>
              </w:rPr>
              <w:t>.</w:t>
            </w:r>
            <w:r w:rsidRPr="0046164E">
              <w:rPr>
                <w:rFonts w:ascii="Garamond" w:hAnsi="Garamond" w:cstheme="minorHAnsi"/>
                <w:iCs/>
                <w:sz w:val="20"/>
              </w:rPr>
              <w:t>10</w:t>
            </w:r>
            <w:r w:rsidR="00C215B7">
              <w:rPr>
                <w:rFonts w:ascii="Garamond" w:hAnsi="Garamond" w:cstheme="minorHAnsi"/>
                <w:iCs/>
                <w:sz w:val="20"/>
              </w:rPr>
              <w:t>.</w:t>
            </w:r>
            <w:r w:rsidRPr="0046164E">
              <w:rPr>
                <w:rFonts w:ascii="Garamond" w:hAnsi="Garamond" w:cstheme="minorHAnsi"/>
                <w:iCs/>
                <w:sz w:val="20"/>
              </w:rPr>
              <w:t>2009</w:t>
            </w:r>
          </w:p>
        </w:tc>
        <w:tc>
          <w:tcPr>
            <w:tcW w:w="1212" w:type="dxa"/>
          </w:tcPr>
          <w:p w14:paraId="4023B8E1" w14:textId="257D4E6E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46164E">
              <w:rPr>
                <w:rFonts w:ascii="Garamond" w:hAnsi="Garamond" w:cstheme="minorHAnsi"/>
                <w:iCs/>
                <w:sz w:val="20"/>
              </w:rPr>
              <w:t>6</w:t>
            </w:r>
            <w:r w:rsidR="00C215B7">
              <w:rPr>
                <w:rFonts w:ascii="Garamond" w:hAnsi="Garamond" w:cstheme="minorHAnsi"/>
                <w:iCs/>
                <w:sz w:val="20"/>
              </w:rPr>
              <w:t>.</w:t>
            </w:r>
            <w:r w:rsidRPr="0046164E">
              <w:rPr>
                <w:rFonts w:ascii="Garamond" w:hAnsi="Garamond" w:cstheme="minorHAnsi"/>
                <w:iCs/>
                <w:sz w:val="20"/>
              </w:rPr>
              <w:t>4</w:t>
            </w:r>
            <w:r w:rsidR="00C215B7">
              <w:rPr>
                <w:rFonts w:ascii="Garamond" w:hAnsi="Garamond" w:cstheme="minorHAnsi"/>
                <w:iCs/>
                <w:sz w:val="20"/>
              </w:rPr>
              <w:t>.</w:t>
            </w:r>
            <w:r w:rsidRPr="0046164E">
              <w:rPr>
                <w:rFonts w:ascii="Garamond" w:hAnsi="Garamond" w:cstheme="minorHAnsi"/>
                <w:iCs/>
                <w:sz w:val="20"/>
              </w:rPr>
              <w:t>2012</w:t>
            </w:r>
          </w:p>
        </w:tc>
        <w:tc>
          <w:tcPr>
            <w:tcW w:w="1350" w:type="dxa"/>
          </w:tcPr>
          <w:p w14:paraId="3578684E" w14:textId="5B063741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46164E">
              <w:rPr>
                <w:rFonts w:ascii="Garamond" w:hAnsi="Garamond" w:cstheme="minorHAnsi"/>
                <w:iCs/>
                <w:sz w:val="20"/>
              </w:rPr>
              <w:t>2 vite dhe 5 muaj dhe 29 dit</w:t>
            </w:r>
            <w:r w:rsidR="001F179F" w:rsidRPr="0046164E">
              <w:rPr>
                <w:rFonts w:ascii="Garamond" w:hAnsi="Garamond" w:cstheme="minorHAnsi"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iCs/>
                <w:sz w:val="20"/>
              </w:rPr>
              <w:t xml:space="preserve"> 1 nivel juridiksioni</w:t>
            </w:r>
          </w:p>
        </w:tc>
        <w:tc>
          <w:tcPr>
            <w:tcW w:w="1260" w:type="dxa"/>
          </w:tcPr>
          <w:p w14:paraId="2CCA20A6" w14:textId="672C68C6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46164E">
              <w:rPr>
                <w:rFonts w:ascii="Garamond" w:hAnsi="Garamond" w:cstheme="minorHAnsi"/>
                <w:iCs/>
                <w:sz w:val="20"/>
              </w:rPr>
              <w:t>900</w:t>
            </w:r>
          </w:p>
        </w:tc>
        <w:tc>
          <w:tcPr>
            <w:tcW w:w="1305" w:type="dxa"/>
          </w:tcPr>
          <w:p w14:paraId="4C3C93DE" w14:textId="3E6BC8B6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46164E">
              <w:rPr>
                <w:rFonts w:ascii="Garamond" w:hAnsi="Garamond" w:cstheme="minorHAnsi"/>
                <w:iCs/>
                <w:sz w:val="20"/>
              </w:rPr>
              <w:t>-</w:t>
            </w:r>
          </w:p>
        </w:tc>
      </w:tr>
      <w:tr w:rsidR="00C215B7" w:rsidRPr="0046164E" w14:paraId="2A22C7F1" w14:textId="4B017767" w:rsidTr="00C215B7">
        <w:tc>
          <w:tcPr>
            <w:tcW w:w="538" w:type="dxa"/>
          </w:tcPr>
          <w:p w14:paraId="0E10ADF0" w14:textId="1D5E5F7E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46164E">
              <w:rPr>
                <w:rFonts w:ascii="Garamond" w:hAnsi="Garamond" w:cstheme="minorHAnsi"/>
                <w:iCs/>
                <w:sz w:val="20"/>
              </w:rPr>
              <w:t>2</w:t>
            </w:r>
          </w:p>
        </w:tc>
        <w:tc>
          <w:tcPr>
            <w:tcW w:w="1347" w:type="dxa"/>
          </w:tcPr>
          <w:p w14:paraId="4E943180" w14:textId="77777777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46164E">
              <w:rPr>
                <w:rFonts w:ascii="Garamond" w:hAnsi="Garamond" w:cstheme="minorHAnsi"/>
                <w:iCs/>
                <w:sz w:val="20"/>
              </w:rPr>
              <w:t>53157/15</w:t>
            </w:r>
          </w:p>
          <w:p w14:paraId="441A16DD" w14:textId="3244A004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46164E">
              <w:rPr>
                <w:rFonts w:ascii="Garamond" w:hAnsi="Garamond" w:cstheme="minorHAnsi"/>
                <w:iCs/>
                <w:sz w:val="20"/>
              </w:rPr>
              <w:t>20</w:t>
            </w:r>
            <w:r w:rsidR="002F2567">
              <w:rPr>
                <w:rFonts w:ascii="Garamond" w:hAnsi="Garamond" w:cstheme="minorHAnsi"/>
                <w:iCs/>
                <w:sz w:val="20"/>
              </w:rPr>
              <w:t>.</w:t>
            </w:r>
            <w:r w:rsidRPr="0046164E">
              <w:rPr>
                <w:rFonts w:ascii="Garamond" w:hAnsi="Garamond" w:cstheme="minorHAnsi"/>
                <w:iCs/>
                <w:sz w:val="20"/>
              </w:rPr>
              <w:t>10</w:t>
            </w:r>
            <w:r w:rsidR="002F2567">
              <w:rPr>
                <w:rFonts w:ascii="Garamond" w:hAnsi="Garamond" w:cstheme="minorHAnsi"/>
                <w:iCs/>
                <w:sz w:val="20"/>
              </w:rPr>
              <w:t>.</w:t>
            </w:r>
            <w:r w:rsidRPr="0046164E">
              <w:rPr>
                <w:rFonts w:ascii="Garamond" w:hAnsi="Garamond" w:cstheme="minorHAnsi"/>
                <w:iCs/>
                <w:sz w:val="20"/>
              </w:rPr>
              <w:t>2015</w:t>
            </w:r>
          </w:p>
        </w:tc>
        <w:tc>
          <w:tcPr>
            <w:tcW w:w="1823" w:type="dxa"/>
          </w:tcPr>
          <w:p w14:paraId="18E95FC5" w14:textId="34F832B5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bCs/>
                <w:iCs/>
                <w:sz w:val="20"/>
              </w:rPr>
            </w:pPr>
            <w:r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 xml:space="preserve">SEAT </w:t>
            </w:r>
            <w:proofErr w:type="spellStart"/>
            <w:r w:rsidR="002F2567" w:rsidRPr="0046164E">
              <w:rPr>
                <w:rFonts w:ascii="Garamond" w:hAnsi="Garamond" w:cstheme="minorHAnsi"/>
                <w:b/>
                <w:bCs/>
                <w:iCs/>
                <w:sz w:val="20"/>
              </w:rPr>
              <w:t>sh.p.k</w:t>
            </w:r>
            <w:proofErr w:type="spellEnd"/>
            <w:r w:rsidR="002F2567">
              <w:rPr>
                <w:rFonts w:ascii="Garamond" w:hAnsi="Garamond" w:cstheme="minorHAnsi"/>
                <w:b/>
                <w:bCs/>
                <w:iCs/>
                <w:sz w:val="20"/>
              </w:rPr>
              <w:t>.</w:t>
            </w:r>
          </w:p>
          <w:p w14:paraId="30ED980C" w14:textId="178391B3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46164E">
              <w:rPr>
                <w:rFonts w:ascii="Garamond" w:hAnsi="Garamond" w:cstheme="minorHAnsi"/>
                <w:iCs/>
                <w:sz w:val="20"/>
              </w:rPr>
              <w:t>2003</w:t>
            </w:r>
          </w:p>
        </w:tc>
        <w:tc>
          <w:tcPr>
            <w:tcW w:w="1505" w:type="dxa"/>
          </w:tcPr>
          <w:p w14:paraId="3DC61E23" w14:textId="36600E37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46164E">
              <w:rPr>
                <w:rFonts w:ascii="Garamond" w:hAnsi="Garamond" w:cstheme="minorHAnsi"/>
                <w:iCs/>
                <w:sz w:val="20"/>
              </w:rPr>
              <w:t>Lamaj Agron</w:t>
            </w:r>
          </w:p>
          <w:p w14:paraId="25EEBF41" w14:textId="64CEB716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46164E">
              <w:rPr>
                <w:rFonts w:ascii="Garamond" w:hAnsi="Garamond" w:cstheme="minorHAnsi"/>
                <w:iCs/>
                <w:sz w:val="20"/>
              </w:rPr>
              <w:t>Tiran</w:t>
            </w:r>
            <w:r w:rsidR="001F179F" w:rsidRPr="0046164E">
              <w:rPr>
                <w:rFonts w:ascii="Garamond" w:hAnsi="Garamond" w:cstheme="minorHAnsi"/>
                <w:iCs/>
                <w:sz w:val="20"/>
              </w:rPr>
              <w:t>ë</w:t>
            </w:r>
          </w:p>
        </w:tc>
        <w:tc>
          <w:tcPr>
            <w:tcW w:w="1940" w:type="dxa"/>
          </w:tcPr>
          <w:p w14:paraId="532BF19C" w14:textId="326D0805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46164E">
              <w:rPr>
                <w:rFonts w:ascii="Garamond" w:hAnsi="Garamond" w:cstheme="minorHAnsi"/>
                <w:iCs/>
                <w:sz w:val="20"/>
              </w:rPr>
              <w:t>17</w:t>
            </w:r>
            <w:r w:rsidR="00C215B7">
              <w:rPr>
                <w:rFonts w:ascii="Garamond" w:hAnsi="Garamond" w:cstheme="minorHAnsi"/>
                <w:iCs/>
                <w:sz w:val="20"/>
              </w:rPr>
              <w:t>.</w:t>
            </w:r>
            <w:r w:rsidRPr="0046164E">
              <w:rPr>
                <w:rFonts w:ascii="Garamond" w:hAnsi="Garamond" w:cstheme="minorHAnsi"/>
                <w:iCs/>
                <w:sz w:val="20"/>
              </w:rPr>
              <w:t>11</w:t>
            </w:r>
            <w:r w:rsidR="00C215B7">
              <w:rPr>
                <w:rFonts w:ascii="Garamond" w:hAnsi="Garamond" w:cstheme="minorHAnsi"/>
                <w:iCs/>
                <w:sz w:val="20"/>
              </w:rPr>
              <w:t>.</w:t>
            </w:r>
            <w:r w:rsidRPr="0046164E">
              <w:rPr>
                <w:rFonts w:ascii="Garamond" w:hAnsi="Garamond" w:cstheme="minorHAnsi"/>
                <w:iCs/>
                <w:sz w:val="20"/>
              </w:rPr>
              <w:t>2005</w:t>
            </w:r>
          </w:p>
        </w:tc>
        <w:tc>
          <w:tcPr>
            <w:tcW w:w="1212" w:type="dxa"/>
          </w:tcPr>
          <w:p w14:paraId="7263173A" w14:textId="48DA37A9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46164E">
              <w:rPr>
                <w:rFonts w:ascii="Garamond" w:hAnsi="Garamond" w:cstheme="minorHAnsi"/>
                <w:iCs/>
                <w:sz w:val="20"/>
              </w:rPr>
              <w:t>10</w:t>
            </w:r>
            <w:r w:rsidR="00C215B7">
              <w:rPr>
                <w:rFonts w:ascii="Garamond" w:hAnsi="Garamond" w:cstheme="minorHAnsi"/>
                <w:iCs/>
                <w:sz w:val="20"/>
              </w:rPr>
              <w:t>.</w:t>
            </w:r>
            <w:r w:rsidRPr="0046164E">
              <w:rPr>
                <w:rFonts w:ascii="Garamond" w:hAnsi="Garamond" w:cstheme="minorHAnsi"/>
                <w:iCs/>
                <w:sz w:val="20"/>
              </w:rPr>
              <w:t>4</w:t>
            </w:r>
            <w:r w:rsidR="00C215B7">
              <w:rPr>
                <w:rFonts w:ascii="Garamond" w:hAnsi="Garamond" w:cstheme="minorHAnsi"/>
                <w:iCs/>
                <w:sz w:val="20"/>
              </w:rPr>
              <w:t>.</w:t>
            </w:r>
            <w:r w:rsidRPr="0046164E">
              <w:rPr>
                <w:rFonts w:ascii="Garamond" w:hAnsi="Garamond" w:cstheme="minorHAnsi"/>
                <w:iCs/>
                <w:sz w:val="20"/>
              </w:rPr>
              <w:t>2015</w:t>
            </w:r>
          </w:p>
          <w:p w14:paraId="57E0D512" w14:textId="7517438A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46164E">
              <w:rPr>
                <w:rFonts w:ascii="Garamond" w:hAnsi="Garamond" w:cstheme="minorHAnsi"/>
                <w:iCs/>
                <w:sz w:val="20"/>
              </w:rPr>
              <w:t>(vendimi marr</w:t>
            </w:r>
            <w:r w:rsidR="001F179F" w:rsidRPr="0046164E">
              <w:rPr>
                <w:rFonts w:ascii="Garamond" w:hAnsi="Garamond" w:cstheme="minorHAnsi"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iCs/>
                <w:sz w:val="20"/>
              </w:rPr>
              <w:t xml:space="preserve"> m</w:t>
            </w:r>
            <w:r w:rsidR="001F179F" w:rsidRPr="0046164E">
              <w:rPr>
                <w:rFonts w:ascii="Garamond" w:hAnsi="Garamond" w:cstheme="minorHAnsi"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iCs/>
                <w:sz w:val="20"/>
              </w:rPr>
              <w:t xml:space="preserve"> 24</w:t>
            </w:r>
            <w:r w:rsidR="00C215B7">
              <w:rPr>
                <w:rFonts w:ascii="Garamond" w:hAnsi="Garamond" w:cstheme="minorHAnsi"/>
                <w:iCs/>
                <w:sz w:val="20"/>
              </w:rPr>
              <w:t>.</w:t>
            </w:r>
            <w:r w:rsidRPr="0046164E">
              <w:rPr>
                <w:rFonts w:ascii="Garamond" w:hAnsi="Garamond" w:cstheme="minorHAnsi"/>
                <w:iCs/>
                <w:sz w:val="20"/>
              </w:rPr>
              <w:t>4</w:t>
            </w:r>
            <w:r w:rsidR="00C215B7">
              <w:rPr>
                <w:rFonts w:ascii="Garamond" w:hAnsi="Garamond" w:cstheme="minorHAnsi"/>
                <w:iCs/>
                <w:sz w:val="20"/>
              </w:rPr>
              <w:t>.</w:t>
            </w:r>
            <w:r w:rsidRPr="0046164E">
              <w:rPr>
                <w:rFonts w:ascii="Garamond" w:hAnsi="Garamond" w:cstheme="minorHAnsi"/>
                <w:iCs/>
                <w:sz w:val="20"/>
              </w:rPr>
              <w:t>2015)</w:t>
            </w:r>
          </w:p>
        </w:tc>
        <w:tc>
          <w:tcPr>
            <w:tcW w:w="1350" w:type="dxa"/>
          </w:tcPr>
          <w:p w14:paraId="675B06DA" w14:textId="350CDCAA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46164E">
              <w:rPr>
                <w:rFonts w:ascii="Garamond" w:hAnsi="Garamond" w:cstheme="minorHAnsi"/>
                <w:iCs/>
                <w:sz w:val="20"/>
              </w:rPr>
              <w:t>9 vite dhe 4 muaj dhe 25 dit</w:t>
            </w:r>
            <w:r w:rsidR="001F179F" w:rsidRPr="0046164E">
              <w:rPr>
                <w:rFonts w:ascii="Garamond" w:hAnsi="Garamond" w:cstheme="minorHAnsi"/>
                <w:iCs/>
                <w:sz w:val="20"/>
              </w:rPr>
              <w:t>ë</w:t>
            </w:r>
            <w:r w:rsidRPr="0046164E">
              <w:rPr>
                <w:rFonts w:ascii="Garamond" w:hAnsi="Garamond" w:cstheme="minorHAnsi"/>
                <w:iCs/>
                <w:sz w:val="20"/>
              </w:rPr>
              <w:t xml:space="preserve"> 4 nivele juridiksioni</w:t>
            </w:r>
          </w:p>
        </w:tc>
        <w:tc>
          <w:tcPr>
            <w:tcW w:w="1260" w:type="dxa"/>
          </w:tcPr>
          <w:p w14:paraId="5493BC2D" w14:textId="2AAE9DCF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46164E">
              <w:rPr>
                <w:rFonts w:ascii="Garamond" w:hAnsi="Garamond" w:cstheme="minorHAnsi"/>
                <w:iCs/>
                <w:sz w:val="20"/>
              </w:rPr>
              <w:t>800</w:t>
            </w:r>
          </w:p>
        </w:tc>
        <w:tc>
          <w:tcPr>
            <w:tcW w:w="1305" w:type="dxa"/>
          </w:tcPr>
          <w:p w14:paraId="124E7666" w14:textId="3975AE7A" w:rsidR="0016586B" w:rsidRPr="0046164E" w:rsidRDefault="0016586B" w:rsidP="0046164E">
            <w:pPr>
              <w:pStyle w:val="JuPara"/>
              <w:ind w:firstLine="0"/>
              <w:jc w:val="center"/>
              <w:rPr>
                <w:rFonts w:ascii="Garamond" w:hAnsi="Garamond" w:cstheme="minorHAnsi"/>
                <w:iCs/>
                <w:sz w:val="20"/>
              </w:rPr>
            </w:pPr>
            <w:r w:rsidRPr="0046164E">
              <w:rPr>
                <w:rFonts w:ascii="Garamond" w:hAnsi="Garamond" w:cstheme="minorHAnsi"/>
                <w:iCs/>
                <w:sz w:val="20"/>
              </w:rPr>
              <w:t>250</w:t>
            </w:r>
          </w:p>
        </w:tc>
      </w:tr>
    </w:tbl>
    <w:p w14:paraId="40EE1FCB" w14:textId="61841CEC" w:rsidR="00046D07" w:rsidRPr="0046164E" w:rsidRDefault="00046D07" w:rsidP="0046164E">
      <w:pPr>
        <w:pStyle w:val="JuPara"/>
        <w:rPr>
          <w:rFonts w:ascii="Garamond" w:hAnsi="Garamond" w:cstheme="minorHAnsi"/>
        </w:rPr>
      </w:pPr>
      <w:r w:rsidRPr="0046164E">
        <w:rPr>
          <w:rFonts w:ascii="Garamond" w:hAnsi="Garamond" w:cstheme="minorHAnsi"/>
          <w:iCs/>
        </w:rPr>
        <w:t xml:space="preserve"> </w:t>
      </w:r>
    </w:p>
    <w:sectPr w:rsidR="00046D07" w:rsidRPr="0046164E" w:rsidSect="00B05348">
      <w:endnotePr>
        <w:numFmt w:val="decimal"/>
      </w:endnotePr>
      <w:pgSz w:w="16838" w:h="11906" w:orient="landscape" w:code="9"/>
      <w:pgMar w:top="1440" w:right="2274" w:bottom="1826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9E37E" w14:textId="77777777" w:rsidR="00963F5D" w:rsidRPr="00DC2D95" w:rsidRDefault="00963F5D">
      <w:r w:rsidRPr="00DC2D95">
        <w:separator/>
      </w:r>
    </w:p>
  </w:endnote>
  <w:endnote w:type="continuationSeparator" w:id="0">
    <w:p w14:paraId="44B01604" w14:textId="77777777" w:rsidR="00963F5D" w:rsidRPr="00DC2D95" w:rsidRDefault="00963F5D">
      <w:r w:rsidRPr="00DC2D95">
        <w:continuationSeparator/>
      </w:r>
    </w:p>
  </w:endnote>
  <w:endnote w:type="continuationNotice" w:id="1">
    <w:p w14:paraId="7CD4798D" w14:textId="77777777" w:rsidR="00325A85" w:rsidRDefault="00325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FuturaStd-Book">
    <w:altName w:val="Century Gothic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0C03B" w14:textId="77777777" w:rsidR="00963F5D" w:rsidRPr="00DC2D95" w:rsidRDefault="00963F5D">
      <w:r w:rsidRPr="00DC2D95">
        <w:separator/>
      </w:r>
    </w:p>
  </w:footnote>
  <w:footnote w:type="continuationSeparator" w:id="0">
    <w:p w14:paraId="5D3CEE26" w14:textId="77777777" w:rsidR="00963F5D" w:rsidRPr="00DC2D95" w:rsidRDefault="00963F5D">
      <w:r w:rsidRPr="00DC2D95">
        <w:continuationSeparator/>
      </w:r>
    </w:p>
  </w:footnote>
  <w:footnote w:type="continuationNotice" w:id="1">
    <w:p w14:paraId="1C619777" w14:textId="77777777" w:rsidR="00325A85" w:rsidRDefault="00325A85"/>
  </w:footnote>
  <w:footnote w:id="2">
    <w:p w14:paraId="624B6CCE" w14:textId="1A3055E7" w:rsidR="00963F5D" w:rsidRPr="002F2567" w:rsidRDefault="00963F5D">
      <w:pPr>
        <w:pStyle w:val="FootnoteText"/>
        <w:rPr>
          <w:rFonts w:ascii="Garamond" w:hAnsi="Garamond"/>
          <w:lang w:val="en-US"/>
        </w:rPr>
      </w:pPr>
      <w:r w:rsidRPr="002F2567">
        <w:rPr>
          <w:rStyle w:val="FootnoteReference"/>
          <w:rFonts w:ascii="Garamond" w:hAnsi="Garamond"/>
        </w:rPr>
        <w:footnoteRef/>
      </w:r>
      <w:r w:rsidRPr="002F2567">
        <w:rPr>
          <w:rFonts w:ascii="Garamond" w:hAnsi="Garamond"/>
        </w:rPr>
        <w:t xml:space="preserve"> Plus çdo taksë që mund t’i </w:t>
      </w:r>
      <w:proofErr w:type="spellStart"/>
      <w:r w:rsidRPr="002F2567">
        <w:rPr>
          <w:rFonts w:ascii="Garamond" w:hAnsi="Garamond"/>
        </w:rPr>
        <w:t>tarifohet</w:t>
      </w:r>
      <w:proofErr w:type="spellEnd"/>
      <w:r w:rsidRPr="002F2567">
        <w:rPr>
          <w:rFonts w:ascii="Garamond" w:hAnsi="Garamond"/>
        </w:rPr>
        <w:t xml:space="preserve"> kërkuesve. </w:t>
      </w:r>
    </w:p>
  </w:footnote>
  <w:footnote w:id="3">
    <w:p w14:paraId="70256532" w14:textId="0C2CDED5" w:rsidR="00963F5D" w:rsidRPr="002F2567" w:rsidRDefault="00963F5D">
      <w:pPr>
        <w:pStyle w:val="FootnoteText"/>
        <w:rPr>
          <w:rFonts w:ascii="Garamond" w:hAnsi="Garamond"/>
          <w:lang w:val="en-US"/>
        </w:rPr>
      </w:pPr>
      <w:r w:rsidRPr="002F2567">
        <w:rPr>
          <w:rStyle w:val="FootnoteReference"/>
          <w:rFonts w:ascii="Garamond" w:hAnsi="Garamond"/>
        </w:rPr>
        <w:footnoteRef/>
      </w:r>
      <w:r w:rsidRPr="002F2567">
        <w:rPr>
          <w:rFonts w:ascii="Garamond" w:hAnsi="Garamond"/>
        </w:rPr>
        <w:t xml:space="preserve"> Plus çdo taksë që mund t’i tarifohet kërkuesve.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9F82A" w14:textId="77777777" w:rsidR="00963F5D" w:rsidRPr="00772A12" w:rsidRDefault="00963F5D" w:rsidP="00772A12">
    <w:pPr>
      <w:pStyle w:val="Header"/>
      <w:jc w:val="center"/>
      <w:rPr>
        <w:rFonts w:ascii="Ebrima" w:hAnsi="Ebri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CA3543"/>
    <w:multiLevelType w:val="hybridMultilevel"/>
    <w:tmpl w:val="9FAC0148"/>
    <w:lvl w:ilvl="0" w:tplc="81CE5FE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48F2261"/>
    <w:multiLevelType w:val="multilevel"/>
    <w:tmpl w:val="C8FE6436"/>
    <w:numStyleLink w:val="ECHRA1StyleList"/>
  </w:abstractNum>
  <w:abstractNum w:abstractNumId="11">
    <w:nsid w:val="07700DE9"/>
    <w:multiLevelType w:val="hybridMultilevel"/>
    <w:tmpl w:val="616A921C"/>
    <w:lvl w:ilvl="0" w:tplc="A0DA3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0F5BFC"/>
    <w:multiLevelType w:val="multilevel"/>
    <w:tmpl w:val="79FEA660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3">
    <w:nsid w:val="0FD21A63"/>
    <w:multiLevelType w:val="hybridMultilevel"/>
    <w:tmpl w:val="9C9EF7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3D6CE2"/>
    <w:multiLevelType w:val="hybridMultilevel"/>
    <w:tmpl w:val="6B868EBE"/>
    <w:lvl w:ilvl="0" w:tplc="37340FF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7427C18"/>
    <w:multiLevelType w:val="hybridMultilevel"/>
    <w:tmpl w:val="5ECAE93C"/>
    <w:lvl w:ilvl="0" w:tplc="AEC407E6">
      <w:start w:val="1"/>
      <w:numFmt w:val="lowerRoman"/>
      <w:lvlText w:val="(%1)"/>
      <w:lvlJc w:val="left"/>
      <w:pPr>
        <w:ind w:left="17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17C45EAF"/>
    <w:multiLevelType w:val="hybridMultilevel"/>
    <w:tmpl w:val="73306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1C47001F"/>
    <w:multiLevelType w:val="hybridMultilevel"/>
    <w:tmpl w:val="60BEB34A"/>
    <w:lvl w:ilvl="0" w:tplc="9C88B788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2AA53596"/>
    <w:multiLevelType w:val="hybridMultilevel"/>
    <w:tmpl w:val="B700FD3C"/>
    <w:lvl w:ilvl="0" w:tplc="A770E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B627B92"/>
    <w:multiLevelType w:val="hybridMultilevel"/>
    <w:tmpl w:val="CC4AC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A17271"/>
    <w:multiLevelType w:val="hybridMultilevel"/>
    <w:tmpl w:val="D41A8A9E"/>
    <w:lvl w:ilvl="0" w:tplc="05D88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5CC1BD9"/>
    <w:multiLevelType w:val="hybridMultilevel"/>
    <w:tmpl w:val="A5566962"/>
    <w:lvl w:ilvl="0" w:tplc="3AB24554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2C3D1F"/>
    <w:multiLevelType w:val="hybridMultilevel"/>
    <w:tmpl w:val="6BC28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0EB320B"/>
    <w:multiLevelType w:val="hybridMultilevel"/>
    <w:tmpl w:val="C5169388"/>
    <w:lvl w:ilvl="0" w:tplc="0B66A1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5435CC2"/>
    <w:multiLevelType w:val="hybridMultilevel"/>
    <w:tmpl w:val="72C2FEAE"/>
    <w:lvl w:ilvl="0" w:tplc="4FD06A04">
      <w:start w:val="1"/>
      <w:numFmt w:val="upperLetter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30">
    <w:nsid w:val="4CBC0D05"/>
    <w:multiLevelType w:val="hybridMultilevel"/>
    <w:tmpl w:val="70841246"/>
    <w:lvl w:ilvl="0" w:tplc="150A7A9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520C45"/>
    <w:multiLevelType w:val="hybridMultilevel"/>
    <w:tmpl w:val="3D206A58"/>
    <w:lvl w:ilvl="0" w:tplc="72303AB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D755257"/>
    <w:multiLevelType w:val="hybridMultilevel"/>
    <w:tmpl w:val="B434C04E"/>
    <w:lvl w:ilvl="0" w:tplc="6C5C82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FF3182"/>
    <w:multiLevelType w:val="hybridMultilevel"/>
    <w:tmpl w:val="27B4A434"/>
    <w:lvl w:ilvl="0" w:tplc="C62C2F98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35">
    <w:nsid w:val="524C7E1F"/>
    <w:multiLevelType w:val="hybridMultilevel"/>
    <w:tmpl w:val="AB788E3E"/>
    <w:lvl w:ilvl="0" w:tplc="3F68E5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C3F2A3B"/>
    <w:multiLevelType w:val="hybridMultilevel"/>
    <w:tmpl w:val="220EB4C2"/>
    <w:lvl w:ilvl="0" w:tplc="4474A57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81D7427"/>
    <w:multiLevelType w:val="hybridMultilevel"/>
    <w:tmpl w:val="8BF0DBD8"/>
    <w:lvl w:ilvl="0" w:tplc="AB0C54EE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90579"/>
    <w:multiLevelType w:val="hybridMultilevel"/>
    <w:tmpl w:val="CD68CBCA"/>
    <w:lvl w:ilvl="0" w:tplc="1DBE4510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EA63776"/>
    <w:multiLevelType w:val="hybridMultilevel"/>
    <w:tmpl w:val="243C9D98"/>
    <w:lvl w:ilvl="0" w:tplc="1C44C154">
      <w:start w:val="1"/>
      <w:numFmt w:val="upperLetter"/>
      <w:lvlText w:val="%1."/>
      <w:lvlJc w:val="left"/>
      <w:pPr>
        <w:ind w:left="644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F8E612E"/>
    <w:multiLevelType w:val="hybridMultilevel"/>
    <w:tmpl w:val="89E246F4"/>
    <w:lvl w:ilvl="0" w:tplc="57386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9E300E"/>
    <w:multiLevelType w:val="hybridMultilevel"/>
    <w:tmpl w:val="83503244"/>
    <w:lvl w:ilvl="0" w:tplc="7230F9CA">
      <w:start w:val="1"/>
      <w:numFmt w:val="decimal"/>
      <w:lvlText w:val="%1."/>
      <w:lvlJc w:val="left"/>
      <w:pPr>
        <w:ind w:left="644" w:hanging="360"/>
      </w:pPr>
      <w:rPr>
        <w:rFonts w:cstheme="min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15E7C57"/>
    <w:multiLevelType w:val="hybridMultilevel"/>
    <w:tmpl w:val="03763680"/>
    <w:lvl w:ilvl="0" w:tplc="2F96E66A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226140"/>
    <w:multiLevelType w:val="hybridMultilevel"/>
    <w:tmpl w:val="72883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834350"/>
    <w:multiLevelType w:val="hybridMultilevel"/>
    <w:tmpl w:val="EC6EBEF6"/>
    <w:lvl w:ilvl="0" w:tplc="38FCA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371941"/>
    <w:multiLevelType w:val="hybridMultilevel"/>
    <w:tmpl w:val="B81EE030"/>
    <w:lvl w:ilvl="0" w:tplc="AFF6DC08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7F8F77B5"/>
    <w:multiLevelType w:val="hybridMultilevel"/>
    <w:tmpl w:val="2A80F5B4"/>
    <w:lvl w:ilvl="0" w:tplc="2CF4D790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6"/>
  </w:num>
  <w:num w:numId="2">
    <w:abstractNumId w:val="19"/>
  </w:num>
  <w:num w:numId="3">
    <w:abstractNumId w:val="17"/>
  </w:num>
  <w:num w:numId="4">
    <w:abstractNumId w:val="29"/>
  </w:num>
  <w:num w:numId="5">
    <w:abstractNumId w:val="20"/>
  </w:num>
  <w:num w:numId="6">
    <w:abstractNumId w:val="34"/>
  </w:num>
  <w:num w:numId="7">
    <w:abstractNumId w:val="29"/>
  </w:num>
  <w:num w:numId="8">
    <w:abstractNumId w:val="34"/>
  </w:num>
  <w:num w:numId="9">
    <w:abstractNumId w:val="12"/>
  </w:num>
  <w:num w:numId="10">
    <w:abstractNumId w:val="10"/>
  </w:num>
  <w:num w:numId="11">
    <w:abstractNumId w:val="37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4"/>
  </w:num>
  <w:num w:numId="22">
    <w:abstractNumId w:val="41"/>
  </w:num>
  <w:num w:numId="23">
    <w:abstractNumId w:val="22"/>
  </w:num>
  <w:num w:numId="24">
    <w:abstractNumId w:val="35"/>
  </w:num>
  <w:num w:numId="25">
    <w:abstractNumId w:val="40"/>
  </w:num>
  <w:num w:numId="26">
    <w:abstractNumId w:val="42"/>
  </w:num>
  <w:num w:numId="27">
    <w:abstractNumId w:val="47"/>
  </w:num>
  <w:num w:numId="28">
    <w:abstractNumId w:val="30"/>
  </w:num>
  <w:num w:numId="29">
    <w:abstractNumId w:val="46"/>
  </w:num>
  <w:num w:numId="30">
    <w:abstractNumId w:val="45"/>
  </w:num>
  <w:num w:numId="31">
    <w:abstractNumId w:val="13"/>
  </w:num>
  <w:num w:numId="32">
    <w:abstractNumId w:val="25"/>
  </w:num>
  <w:num w:numId="33">
    <w:abstractNumId w:val="21"/>
  </w:num>
  <w:num w:numId="34">
    <w:abstractNumId w:val="31"/>
  </w:num>
  <w:num w:numId="35">
    <w:abstractNumId w:val="28"/>
  </w:num>
  <w:num w:numId="36">
    <w:abstractNumId w:val="39"/>
  </w:num>
  <w:num w:numId="37">
    <w:abstractNumId w:val="24"/>
  </w:num>
  <w:num w:numId="38">
    <w:abstractNumId w:val="11"/>
  </w:num>
  <w:num w:numId="39">
    <w:abstractNumId w:val="36"/>
  </w:num>
  <w:num w:numId="40">
    <w:abstractNumId w:val="43"/>
  </w:num>
  <w:num w:numId="41">
    <w:abstractNumId w:val="38"/>
  </w:num>
  <w:num w:numId="42">
    <w:abstractNumId w:val="23"/>
  </w:num>
  <w:num w:numId="43">
    <w:abstractNumId w:val="33"/>
  </w:num>
  <w:num w:numId="44">
    <w:abstractNumId w:val="15"/>
  </w:num>
  <w:num w:numId="45">
    <w:abstractNumId w:val="27"/>
  </w:num>
  <w:num w:numId="46">
    <w:abstractNumId w:val="16"/>
  </w:num>
  <w:num w:numId="47">
    <w:abstractNumId w:val="32"/>
  </w:num>
  <w:num w:numId="48">
    <w:abstractNumId w:val="9"/>
  </w:num>
  <w:num w:numId="49">
    <w:abstractNumId w:val="18"/>
  </w:num>
  <w:num w:numId="50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licationsApp" w:val="3"/>
    <w:docVar w:name="EMM" w:val="0"/>
    <w:docVar w:name="NBEMMDOC" w:val="0"/>
  </w:docVars>
  <w:rsids>
    <w:rsidRoot w:val="00DC2D95"/>
    <w:rsid w:val="00017CA0"/>
    <w:rsid w:val="00030DFE"/>
    <w:rsid w:val="000350EC"/>
    <w:rsid w:val="00042436"/>
    <w:rsid w:val="00046D07"/>
    <w:rsid w:val="00052BAB"/>
    <w:rsid w:val="00052D03"/>
    <w:rsid w:val="0005568E"/>
    <w:rsid w:val="00057588"/>
    <w:rsid w:val="000658B1"/>
    <w:rsid w:val="00081483"/>
    <w:rsid w:val="00083560"/>
    <w:rsid w:val="00090BC6"/>
    <w:rsid w:val="0009162A"/>
    <w:rsid w:val="00095FD8"/>
    <w:rsid w:val="000963B3"/>
    <w:rsid w:val="000A22F7"/>
    <w:rsid w:val="000A27B6"/>
    <w:rsid w:val="000A5327"/>
    <w:rsid w:val="000A5C3D"/>
    <w:rsid w:val="000A66E9"/>
    <w:rsid w:val="000A7592"/>
    <w:rsid w:val="000A77ED"/>
    <w:rsid w:val="000B0E1A"/>
    <w:rsid w:val="000B1FA9"/>
    <w:rsid w:val="000B43D6"/>
    <w:rsid w:val="000B7552"/>
    <w:rsid w:val="000C4997"/>
    <w:rsid w:val="000C5DB6"/>
    <w:rsid w:val="000D0E41"/>
    <w:rsid w:val="000D5B4F"/>
    <w:rsid w:val="000D61E7"/>
    <w:rsid w:val="000E3A89"/>
    <w:rsid w:val="000E3C23"/>
    <w:rsid w:val="000E3F15"/>
    <w:rsid w:val="000E49E4"/>
    <w:rsid w:val="000E5EE5"/>
    <w:rsid w:val="000F2C75"/>
    <w:rsid w:val="000F3C31"/>
    <w:rsid w:val="000F4E59"/>
    <w:rsid w:val="00100EF3"/>
    <w:rsid w:val="00110204"/>
    <w:rsid w:val="001256F7"/>
    <w:rsid w:val="00126FB3"/>
    <w:rsid w:val="0012779B"/>
    <w:rsid w:val="00131C8D"/>
    <w:rsid w:val="00132029"/>
    <w:rsid w:val="00136FF3"/>
    <w:rsid w:val="00154D4F"/>
    <w:rsid w:val="00157DF9"/>
    <w:rsid w:val="0016586B"/>
    <w:rsid w:val="00167FDE"/>
    <w:rsid w:val="00170E6E"/>
    <w:rsid w:val="00172D0D"/>
    <w:rsid w:val="00174974"/>
    <w:rsid w:val="00180553"/>
    <w:rsid w:val="001900F0"/>
    <w:rsid w:val="00197F33"/>
    <w:rsid w:val="001A6321"/>
    <w:rsid w:val="001D1233"/>
    <w:rsid w:val="001D513A"/>
    <w:rsid w:val="001E0698"/>
    <w:rsid w:val="001E5E02"/>
    <w:rsid w:val="001F179F"/>
    <w:rsid w:val="001F52EA"/>
    <w:rsid w:val="00203AD1"/>
    <w:rsid w:val="00216F37"/>
    <w:rsid w:val="00223125"/>
    <w:rsid w:val="00223591"/>
    <w:rsid w:val="002242A1"/>
    <w:rsid w:val="0024281C"/>
    <w:rsid w:val="002434AF"/>
    <w:rsid w:val="00250311"/>
    <w:rsid w:val="00251973"/>
    <w:rsid w:val="002519C7"/>
    <w:rsid w:val="00261F22"/>
    <w:rsid w:val="00262A21"/>
    <w:rsid w:val="0026446B"/>
    <w:rsid w:val="00266DA7"/>
    <w:rsid w:val="00270C65"/>
    <w:rsid w:val="00275766"/>
    <w:rsid w:val="00280FD1"/>
    <w:rsid w:val="002837E8"/>
    <w:rsid w:val="0029191A"/>
    <w:rsid w:val="00293FD3"/>
    <w:rsid w:val="00294D44"/>
    <w:rsid w:val="002A08EC"/>
    <w:rsid w:val="002A1778"/>
    <w:rsid w:val="002A1D67"/>
    <w:rsid w:val="002A28E0"/>
    <w:rsid w:val="002A3C64"/>
    <w:rsid w:val="002A7085"/>
    <w:rsid w:val="002A7443"/>
    <w:rsid w:val="002A7AE3"/>
    <w:rsid w:val="002D2CE5"/>
    <w:rsid w:val="002D4B84"/>
    <w:rsid w:val="002D7BD8"/>
    <w:rsid w:val="002E5796"/>
    <w:rsid w:val="002F2567"/>
    <w:rsid w:val="002F3D1C"/>
    <w:rsid w:val="002F6C2B"/>
    <w:rsid w:val="002F6D38"/>
    <w:rsid w:val="00301F07"/>
    <w:rsid w:val="003020DD"/>
    <w:rsid w:val="00306167"/>
    <w:rsid w:val="0030740A"/>
    <w:rsid w:val="00310AD6"/>
    <w:rsid w:val="003142C5"/>
    <w:rsid w:val="00316BE2"/>
    <w:rsid w:val="00325A85"/>
    <w:rsid w:val="0032741F"/>
    <w:rsid w:val="00330F02"/>
    <w:rsid w:val="003325A4"/>
    <w:rsid w:val="003341F6"/>
    <w:rsid w:val="00334317"/>
    <w:rsid w:val="0033572B"/>
    <w:rsid w:val="00335D4B"/>
    <w:rsid w:val="00337C4A"/>
    <w:rsid w:val="00337FB1"/>
    <w:rsid w:val="00344D46"/>
    <w:rsid w:val="0035509C"/>
    <w:rsid w:val="00361D0C"/>
    <w:rsid w:val="00374B2E"/>
    <w:rsid w:val="00380971"/>
    <w:rsid w:val="00383543"/>
    <w:rsid w:val="003870A8"/>
    <w:rsid w:val="00387525"/>
    <w:rsid w:val="0038784D"/>
    <w:rsid w:val="0039350D"/>
    <w:rsid w:val="00393AC5"/>
    <w:rsid w:val="003A4C97"/>
    <w:rsid w:val="003A7FF6"/>
    <w:rsid w:val="003B50D7"/>
    <w:rsid w:val="003B56AD"/>
    <w:rsid w:val="003B632E"/>
    <w:rsid w:val="003B77AA"/>
    <w:rsid w:val="003C2361"/>
    <w:rsid w:val="003C3468"/>
    <w:rsid w:val="003C6A39"/>
    <w:rsid w:val="003C6D54"/>
    <w:rsid w:val="003C7FD8"/>
    <w:rsid w:val="003D54EF"/>
    <w:rsid w:val="003D553C"/>
    <w:rsid w:val="003E18F0"/>
    <w:rsid w:val="003E3C60"/>
    <w:rsid w:val="003E7141"/>
    <w:rsid w:val="004023BC"/>
    <w:rsid w:val="00405F31"/>
    <w:rsid w:val="00406357"/>
    <w:rsid w:val="004076F9"/>
    <w:rsid w:val="00410AD2"/>
    <w:rsid w:val="004110DB"/>
    <w:rsid w:val="00420FAE"/>
    <w:rsid w:val="004257D8"/>
    <w:rsid w:val="004324C6"/>
    <w:rsid w:val="00432F1E"/>
    <w:rsid w:val="00444D6B"/>
    <w:rsid w:val="00452087"/>
    <w:rsid w:val="00455104"/>
    <w:rsid w:val="00456012"/>
    <w:rsid w:val="004576F3"/>
    <w:rsid w:val="0046164E"/>
    <w:rsid w:val="00464268"/>
    <w:rsid w:val="00471923"/>
    <w:rsid w:val="0049042C"/>
    <w:rsid w:val="004913F0"/>
    <w:rsid w:val="00493FC6"/>
    <w:rsid w:val="00495642"/>
    <w:rsid w:val="004A4C71"/>
    <w:rsid w:val="004A5E86"/>
    <w:rsid w:val="004A7333"/>
    <w:rsid w:val="004B0190"/>
    <w:rsid w:val="004B3C8D"/>
    <w:rsid w:val="004B4B60"/>
    <w:rsid w:val="004B4DD5"/>
    <w:rsid w:val="004B4DF7"/>
    <w:rsid w:val="004B4E73"/>
    <w:rsid w:val="004C0865"/>
    <w:rsid w:val="004C7547"/>
    <w:rsid w:val="004C75D9"/>
    <w:rsid w:val="004D0A45"/>
    <w:rsid w:val="004D54FA"/>
    <w:rsid w:val="004F5489"/>
    <w:rsid w:val="004F646B"/>
    <w:rsid w:val="00501A9C"/>
    <w:rsid w:val="0050447C"/>
    <w:rsid w:val="005124D6"/>
    <w:rsid w:val="005164E2"/>
    <w:rsid w:val="0052097D"/>
    <w:rsid w:val="005213EC"/>
    <w:rsid w:val="00524A3B"/>
    <w:rsid w:val="00527C81"/>
    <w:rsid w:val="005301FF"/>
    <w:rsid w:val="00531367"/>
    <w:rsid w:val="005357FF"/>
    <w:rsid w:val="00537967"/>
    <w:rsid w:val="00540081"/>
    <w:rsid w:val="00551B83"/>
    <w:rsid w:val="005544E4"/>
    <w:rsid w:val="005546C3"/>
    <w:rsid w:val="00561D84"/>
    <w:rsid w:val="00567561"/>
    <w:rsid w:val="00567943"/>
    <w:rsid w:val="00575841"/>
    <w:rsid w:val="005774A1"/>
    <w:rsid w:val="00581E8B"/>
    <w:rsid w:val="00595F91"/>
    <w:rsid w:val="00597374"/>
    <w:rsid w:val="00597F36"/>
    <w:rsid w:val="005A0CD3"/>
    <w:rsid w:val="005A7CF3"/>
    <w:rsid w:val="005B0669"/>
    <w:rsid w:val="005B3279"/>
    <w:rsid w:val="005B546C"/>
    <w:rsid w:val="005C337E"/>
    <w:rsid w:val="005C4BAF"/>
    <w:rsid w:val="005C6CA3"/>
    <w:rsid w:val="005D1D12"/>
    <w:rsid w:val="005E5022"/>
    <w:rsid w:val="005E546A"/>
    <w:rsid w:val="005E56C2"/>
    <w:rsid w:val="005F11CB"/>
    <w:rsid w:val="005F1CA8"/>
    <w:rsid w:val="005F5E05"/>
    <w:rsid w:val="00604EDA"/>
    <w:rsid w:val="006146F9"/>
    <w:rsid w:val="00615094"/>
    <w:rsid w:val="006153A2"/>
    <w:rsid w:val="006262FA"/>
    <w:rsid w:val="006267D3"/>
    <w:rsid w:val="006300E9"/>
    <w:rsid w:val="00633A45"/>
    <w:rsid w:val="00644F14"/>
    <w:rsid w:val="00651A01"/>
    <w:rsid w:val="00653EF4"/>
    <w:rsid w:val="006567B1"/>
    <w:rsid w:val="00656B81"/>
    <w:rsid w:val="00656BEF"/>
    <w:rsid w:val="0066099D"/>
    <w:rsid w:val="00665F56"/>
    <w:rsid w:val="00671159"/>
    <w:rsid w:val="00672759"/>
    <w:rsid w:val="00674145"/>
    <w:rsid w:val="00687739"/>
    <w:rsid w:val="00695205"/>
    <w:rsid w:val="00695994"/>
    <w:rsid w:val="006A1CC1"/>
    <w:rsid w:val="006A5ABF"/>
    <w:rsid w:val="006B3B4E"/>
    <w:rsid w:val="006C3BC3"/>
    <w:rsid w:val="006C66ED"/>
    <w:rsid w:val="006C6D28"/>
    <w:rsid w:val="006D24ED"/>
    <w:rsid w:val="006D2A07"/>
    <w:rsid w:val="006D4D63"/>
    <w:rsid w:val="006D7FDE"/>
    <w:rsid w:val="006E0F45"/>
    <w:rsid w:val="006E10D6"/>
    <w:rsid w:val="006E123B"/>
    <w:rsid w:val="006E5EAA"/>
    <w:rsid w:val="006F1287"/>
    <w:rsid w:val="006F63EF"/>
    <w:rsid w:val="007040EB"/>
    <w:rsid w:val="0071116C"/>
    <w:rsid w:val="007111DD"/>
    <w:rsid w:val="00711A93"/>
    <w:rsid w:val="00723E48"/>
    <w:rsid w:val="00723E56"/>
    <w:rsid w:val="00741884"/>
    <w:rsid w:val="00745FC7"/>
    <w:rsid w:val="007464F1"/>
    <w:rsid w:val="00754A76"/>
    <w:rsid w:val="007552BE"/>
    <w:rsid w:val="007562D3"/>
    <w:rsid w:val="0075691D"/>
    <w:rsid w:val="00756A3D"/>
    <w:rsid w:val="00760985"/>
    <w:rsid w:val="00765191"/>
    <w:rsid w:val="007652DD"/>
    <w:rsid w:val="00772A12"/>
    <w:rsid w:val="007907C0"/>
    <w:rsid w:val="0079386B"/>
    <w:rsid w:val="007A715B"/>
    <w:rsid w:val="007A798F"/>
    <w:rsid w:val="007B2364"/>
    <w:rsid w:val="007B64B5"/>
    <w:rsid w:val="007C2A09"/>
    <w:rsid w:val="007C7901"/>
    <w:rsid w:val="007D268E"/>
    <w:rsid w:val="007D3C54"/>
    <w:rsid w:val="007E11F7"/>
    <w:rsid w:val="007E19DA"/>
    <w:rsid w:val="007E2771"/>
    <w:rsid w:val="007E3A4B"/>
    <w:rsid w:val="007F0FE8"/>
    <w:rsid w:val="008028C9"/>
    <w:rsid w:val="00805E99"/>
    <w:rsid w:val="008073B4"/>
    <w:rsid w:val="008121AF"/>
    <w:rsid w:val="00812D10"/>
    <w:rsid w:val="0081551D"/>
    <w:rsid w:val="00817557"/>
    <w:rsid w:val="00820E1C"/>
    <w:rsid w:val="00833D10"/>
    <w:rsid w:val="00836BC0"/>
    <w:rsid w:val="0084096A"/>
    <w:rsid w:val="008531A6"/>
    <w:rsid w:val="0085328D"/>
    <w:rsid w:val="0086129F"/>
    <w:rsid w:val="008613A7"/>
    <w:rsid w:val="00871502"/>
    <w:rsid w:val="00872A20"/>
    <w:rsid w:val="00880C55"/>
    <w:rsid w:val="00881BB1"/>
    <w:rsid w:val="00886EC9"/>
    <w:rsid w:val="008B324D"/>
    <w:rsid w:val="008C18FC"/>
    <w:rsid w:val="008C7485"/>
    <w:rsid w:val="008D10E4"/>
    <w:rsid w:val="008D1BDB"/>
    <w:rsid w:val="008D4223"/>
    <w:rsid w:val="008F0A92"/>
    <w:rsid w:val="008F7189"/>
    <w:rsid w:val="009013F1"/>
    <w:rsid w:val="00902CD7"/>
    <w:rsid w:val="00904E3D"/>
    <w:rsid w:val="009136FC"/>
    <w:rsid w:val="0091761C"/>
    <w:rsid w:val="009241DF"/>
    <w:rsid w:val="009266D1"/>
    <w:rsid w:val="00926E2A"/>
    <w:rsid w:val="009352FF"/>
    <w:rsid w:val="0094237C"/>
    <w:rsid w:val="00942DEC"/>
    <w:rsid w:val="00944250"/>
    <w:rsid w:val="00946A19"/>
    <w:rsid w:val="009534F5"/>
    <w:rsid w:val="00956B2A"/>
    <w:rsid w:val="009570D7"/>
    <w:rsid w:val="00962899"/>
    <w:rsid w:val="0096293E"/>
    <w:rsid w:val="00963F5D"/>
    <w:rsid w:val="009656DE"/>
    <w:rsid w:val="0097568F"/>
    <w:rsid w:val="00976783"/>
    <w:rsid w:val="00980007"/>
    <w:rsid w:val="009838D4"/>
    <w:rsid w:val="0098480A"/>
    <w:rsid w:val="0099219A"/>
    <w:rsid w:val="009A3631"/>
    <w:rsid w:val="009A767D"/>
    <w:rsid w:val="009B29CD"/>
    <w:rsid w:val="009B6F49"/>
    <w:rsid w:val="009C21E8"/>
    <w:rsid w:val="009C440C"/>
    <w:rsid w:val="009D1E28"/>
    <w:rsid w:val="009D35EF"/>
    <w:rsid w:val="009D3F22"/>
    <w:rsid w:val="009E01FB"/>
    <w:rsid w:val="009E12D2"/>
    <w:rsid w:val="009E624E"/>
    <w:rsid w:val="009F4D41"/>
    <w:rsid w:val="00A02FBD"/>
    <w:rsid w:val="00A1409C"/>
    <w:rsid w:val="00A226C4"/>
    <w:rsid w:val="00A248DD"/>
    <w:rsid w:val="00A31673"/>
    <w:rsid w:val="00A40BD2"/>
    <w:rsid w:val="00A47FE1"/>
    <w:rsid w:val="00A562B0"/>
    <w:rsid w:val="00A60FAE"/>
    <w:rsid w:val="00A61644"/>
    <w:rsid w:val="00A61FDA"/>
    <w:rsid w:val="00A77030"/>
    <w:rsid w:val="00A93B14"/>
    <w:rsid w:val="00AA2444"/>
    <w:rsid w:val="00AA5AEE"/>
    <w:rsid w:val="00AB0576"/>
    <w:rsid w:val="00AB42A7"/>
    <w:rsid w:val="00AC1307"/>
    <w:rsid w:val="00AC58E5"/>
    <w:rsid w:val="00AD1811"/>
    <w:rsid w:val="00AD4D71"/>
    <w:rsid w:val="00AD4DBC"/>
    <w:rsid w:val="00AE5D0C"/>
    <w:rsid w:val="00AE6116"/>
    <w:rsid w:val="00AF2949"/>
    <w:rsid w:val="00AF7B57"/>
    <w:rsid w:val="00B04C5B"/>
    <w:rsid w:val="00B05348"/>
    <w:rsid w:val="00B05BD7"/>
    <w:rsid w:val="00B06BB9"/>
    <w:rsid w:val="00B072CB"/>
    <w:rsid w:val="00B108AF"/>
    <w:rsid w:val="00B10CDB"/>
    <w:rsid w:val="00B140D3"/>
    <w:rsid w:val="00B16877"/>
    <w:rsid w:val="00B24865"/>
    <w:rsid w:val="00B30831"/>
    <w:rsid w:val="00B30E44"/>
    <w:rsid w:val="00B32955"/>
    <w:rsid w:val="00B33FB6"/>
    <w:rsid w:val="00B342D1"/>
    <w:rsid w:val="00B37773"/>
    <w:rsid w:val="00B405A0"/>
    <w:rsid w:val="00B468F7"/>
    <w:rsid w:val="00B52949"/>
    <w:rsid w:val="00B60352"/>
    <w:rsid w:val="00B61689"/>
    <w:rsid w:val="00B63218"/>
    <w:rsid w:val="00B64A83"/>
    <w:rsid w:val="00B663D8"/>
    <w:rsid w:val="00B96F3E"/>
    <w:rsid w:val="00BA015C"/>
    <w:rsid w:val="00BA0A92"/>
    <w:rsid w:val="00BC1916"/>
    <w:rsid w:val="00BC4A12"/>
    <w:rsid w:val="00BD0584"/>
    <w:rsid w:val="00BD1692"/>
    <w:rsid w:val="00BE76D8"/>
    <w:rsid w:val="00BF415E"/>
    <w:rsid w:val="00BF710F"/>
    <w:rsid w:val="00C03E7B"/>
    <w:rsid w:val="00C1668F"/>
    <w:rsid w:val="00C215B7"/>
    <w:rsid w:val="00C30467"/>
    <w:rsid w:val="00C31D82"/>
    <w:rsid w:val="00C333D1"/>
    <w:rsid w:val="00C35045"/>
    <w:rsid w:val="00C40433"/>
    <w:rsid w:val="00C42C12"/>
    <w:rsid w:val="00C47D42"/>
    <w:rsid w:val="00C533AB"/>
    <w:rsid w:val="00C56177"/>
    <w:rsid w:val="00C57DB6"/>
    <w:rsid w:val="00C64222"/>
    <w:rsid w:val="00C6630D"/>
    <w:rsid w:val="00C75E4C"/>
    <w:rsid w:val="00C84BD0"/>
    <w:rsid w:val="00C87EF1"/>
    <w:rsid w:val="00C90243"/>
    <w:rsid w:val="00C91606"/>
    <w:rsid w:val="00C925D7"/>
    <w:rsid w:val="00CA2E2C"/>
    <w:rsid w:val="00CA4B19"/>
    <w:rsid w:val="00CA5131"/>
    <w:rsid w:val="00CA7EB6"/>
    <w:rsid w:val="00CB01FB"/>
    <w:rsid w:val="00CB5239"/>
    <w:rsid w:val="00CC2615"/>
    <w:rsid w:val="00CC692E"/>
    <w:rsid w:val="00CD1253"/>
    <w:rsid w:val="00CD1DE6"/>
    <w:rsid w:val="00CE5C89"/>
    <w:rsid w:val="00CE65D7"/>
    <w:rsid w:val="00CF4739"/>
    <w:rsid w:val="00CF5610"/>
    <w:rsid w:val="00CF6E07"/>
    <w:rsid w:val="00D073B1"/>
    <w:rsid w:val="00D143BF"/>
    <w:rsid w:val="00D174AC"/>
    <w:rsid w:val="00D2524C"/>
    <w:rsid w:val="00D327E1"/>
    <w:rsid w:val="00D415D6"/>
    <w:rsid w:val="00D46264"/>
    <w:rsid w:val="00D47607"/>
    <w:rsid w:val="00D47A3C"/>
    <w:rsid w:val="00D51F72"/>
    <w:rsid w:val="00D61FBF"/>
    <w:rsid w:val="00D64AE0"/>
    <w:rsid w:val="00D65FD9"/>
    <w:rsid w:val="00D7197D"/>
    <w:rsid w:val="00D724E9"/>
    <w:rsid w:val="00D75B24"/>
    <w:rsid w:val="00D770A9"/>
    <w:rsid w:val="00D809F1"/>
    <w:rsid w:val="00D81050"/>
    <w:rsid w:val="00D837F4"/>
    <w:rsid w:val="00D912B6"/>
    <w:rsid w:val="00D916A5"/>
    <w:rsid w:val="00D9247D"/>
    <w:rsid w:val="00D92909"/>
    <w:rsid w:val="00D92F25"/>
    <w:rsid w:val="00D958D0"/>
    <w:rsid w:val="00DB06B6"/>
    <w:rsid w:val="00DB2636"/>
    <w:rsid w:val="00DB56E2"/>
    <w:rsid w:val="00DB6354"/>
    <w:rsid w:val="00DB7A80"/>
    <w:rsid w:val="00DC1E1F"/>
    <w:rsid w:val="00DC2D95"/>
    <w:rsid w:val="00DD31DD"/>
    <w:rsid w:val="00DD3C00"/>
    <w:rsid w:val="00DD6561"/>
    <w:rsid w:val="00DE3985"/>
    <w:rsid w:val="00DE43D3"/>
    <w:rsid w:val="00DF21A8"/>
    <w:rsid w:val="00DF2489"/>
    <w:rsid w:val="00DF3E62"/>
    <w:rsid w:val="00DF74D4"/>
    <w:rsid w:val="00E02988"/>
    <w:rsid w:val="00E04E35"/>
    <w:rsid w:val="00E140CC"/>
    <w:rsid w:val="00E17CCA"/>
    <w:rsid w:val="00E36A4F"/>
    <w:rsid w:val="00E4608E"/>
    <w:rsid w:val="00E5464B"/>
    <w:rsid w:val="00E60B90"/>
    <w:rsid w:val="00E61133"/>
    <w:rsid w:val="00E66C4F"/>
    <w:rsid w:val="00E70F50"/>
    <w:rsid w:val="00E7356A"/>
    <w:rsid w:val="00E7380C"/>
    <w:rsid w:val="00E75CE5"/>
    <w:rsid w:val="00E867C1"/>
    <w:rsid w:val="00E90DC9"/>
    <w:rsid w:val="00EA5ED3"/>
    <w:rsid w:val="00EA647C"/>
    <w:rsid w:val="00EB0AED"/>
    <w:rsid w:val="00ED4E4E"/>
    <w:rsid w:val="00EE206F"/>
    <w:rsid w:val="00EE38CA"/>
    <w:rsid w:val="00EE779F"/>
    <w:rsid w:val="00EF1B80"/>
    <w:rsid w:val="00EF4A6A"/>
    <w:rsid w:val="00EF6FFB"/>
    <w:rsid w:val="00F06309"/>
    <w:rsid w:val="00F148E4"/>
    <w:rsid w:val="00F21B2A"/>
    <w:rsid w:val="00F22EBE"/>
    <w:rsid w:val="00F24642"/>
    <w:rsid w:val="00F24AB9"/>
    <w:rsid w:val="00F2556F"/>
    <w:rsid w:val="00F30C8E"/>
    <w:rsid w:val="00F35BD7"/>
    <w:rsid w:val="00F43A6A"/>
    <w:rsid w:val="00F44415"/>
    <w:rsid w:val="00F479AC"/>
    <w:rsid w:val="00F50D20"/>
    <w:rsid w:val="00F611CB"/>
    <w:rsid w:val="00F63698"/>
    <w:rsid w:val="00F66F74"/>
    <w:rsid w:val="00F701A8"/>
    <w:rsid w:val="00F77B50"/>
    <w:rsid w:val="00F8532D"/>
    <w:rsid w:val="00F90CCF"/>
    <w:rsid w:val="00F94096"/>
    <w:rsid w:val="00F97191"/>
    <w:rsid w:val="00FA2D58"/>
    <w:rsid w:val="00FA73F9"/>
    <w:rsid w:val="00FB5BE5"/>
    <w:rsid w:val="00FB5F13"/>
    <w:rsid w:val="00FC640C"/>
    <w:rsid w:val="00FD41CE"/>
    <w:rsid w:val="00FE21CD"/>
    <w:rsid w:val="00FE7F01"/>
    <w:rsid w:val="00FF4715"/>
    <w:rsid w:val="00FF6606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7E8F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/>
  </w:docDefaults>
  <w:latentStyles w:defLockedState="0" w:defUIPriority="98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5" w:qFormat="1"/>
    <w:lsdException w:name="heading 7" w:qFormat="1"/>
    <w:lsdException w:name="heading 8" w:qFormat="1"/>
    <w:lsdException w:name="heading 9" w:qFormat="1"/>
    <w:lsdException w:name="header" w:uiPriority="57"/>
    <w:lsdException w:name="caption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semiHidden/>
    <w:rsid w:val="006D2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rsid w:val="006D24E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6D24E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6D24E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6D24E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6D24E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6D24E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6D24ED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6D24ED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6D24E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6D24ED"/>
    <w:pPr>
      <w:tabs>
        <w:tab w:val="center" w:pos="851"/>
        <w:tab w:val="center" w:pos="6407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6D24ED"/>
    <w:pPr>
      <w:ind w:firstLine="284"/>
    </w:pPr>
  </w:style>
  <w:style w:type="character" w:styleId="PageNumber">
    <w:name w:val="page number"/>
    <w:uiPriority w:val="98"/>
    <w:semiHidden/>
    <w:rsid w:val="006D24ED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6D2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6D2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6D24ED"/>
    <w:rPr>
      <w:sz w:val="20"/>
      <w:szCs w:val="20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6D24ED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6D24ED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6D24ED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6D24ED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57"/>
    <w:rsid w:val="006D2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57"/>
    <w:rsid w:val="006D24ED"/>
    <w:rPr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customStyle="1" w:styleId="DummyStyle">
    <w:name w:val="Dummy_Style"/>
    <w:aliases w:val="_Dummy"/>
    <w:basedOn w:val="Normal"/>
    <w:semiHidden/>
    <w:qFormat/>
    <w:rsid w:val="006D24ED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6D24ED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6D24ED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6D24ED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6D24ED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6D24ED"/>
    <w:pPr>
      <w:numPr>
        <w:numId w:val="4"/>
      </w:numPr>
    </w:pPr>
  </w:style>
  <w:style w:type="numbering" w:customStyle="1" w:styleId="ECHRA1StyleList">
    <w:name w:val="ECHR_A1_Style_List"/>
    <w:basedOn w:val="NoList"/>
    <w:uiPriority w:val="99"/>
    <w:rsid w:val="006D24ED"/>
    <w:pPr>
      <w:numPr>
        <w:numId w:val="5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6D24ED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6D24ED"/>
    <w:pPr>
      <w:numPr>
        <w:numId w:val="6"/>
      </w:numPr>
    </w:pPr>
  </w:style>
  <w:style w:type="table" w:customStyle="1" w:styleId="ECHRHeaderTable">
    <w:name w:val="ECHR_Header_Table"/>
    <w:basedOn w:val="TableNormal"/>
    <w:uiPriority w:val="99"/>
    <w:rsid w:val="006D24ED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6D24ED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6D24ED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6D24ED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6D24ED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6D24ED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6D24ED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6D24ED"/>
    <w:pPr>
      <w:keepNext/>
      <w:keepLines/>
      <w:numPr>
        <w:ilvl w:val="1"/>
        <w:numId w:val="9"/>
      </w:numPr>
      <w:tabs>
        <w:tab w:val="left" w:pos="454"/>
        <w:tab w:val="left" w:pos="567"/>
        <w:tab w:val="left" w:pos="680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rsid w:val="006D24ED"/>
    <w:rPr>
      <w:rFonts w:asciiTheme="majorHAnsi" w:eastAsiaTheme="majorEastAsia" w:hAnsiTheme="majorHAnsi" w:cstheme="majorBidi"/>
      <w:b/>
      <w:bCs/>
      <w:color w:val="333333"/>
      <w:sz w:val="28"/>
      <w:szCs w:val="28"/>
      <w:lang w:val="sq-AL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6D24ED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6D24ED"/>
    <w:rPr>
      <w:rFonts w:asciiTheme="majorHAnsi" w:eastAsiaTheme="majorEastAsia" w:hAnsiTheme="majorHAnsi" w:cstheme="majorBidi"/>
      <w:b/>
      <w:bCs/>
      <w:color w:val="4D4D4D"/>
      <w:sz w:val="26"/>
      <w:szCs w:val="26"/>
      <w:lang w:val="sq-AL"/>
    </w:rPr>
  </w:style>
  <w:style w:type="paragraph" w:customStyle="1" w:styleId="JuH1">
    <w:name w:val="Ju_H_1."/>
    <w:aliases w:val="_Head_4"/>
    <w:basedOn w:val="Heading4"/>
    <w:next w:val="JuPara"/>
    <w:uiPriority w:val="17"/>
    <w:rsid w:val="006D24ED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6D24ED"/>
    <w:rPr>
      <w:rFonts w:asciiTheme="majorHAnsi" w:eastAsiaTheme="majorEastAsia" w:hAnsiTheme="majorHAnsi" w:cstheme="majorBidi"/>
      <w:b/>
      <w:bCs/>
      <w:color w:val="5F5F5F"/>
      <w:lang w:val="sq-AL"/>
    </w:rPr>
  </w:style>
  <w:style w:type="paragraph" w:customStyle="1" w:styleId="JuHa0">
    <w:name w:val="Ju_H_a"/>
    <w:aliases w:val="_Head_5"/>
    <w:basedOn w:val="Heading5"/>
    <w:next w:val="JuPara"/>
    <w:uiPriority w:val="17"/>
    <w:rsid w:val="006D24ED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77777"/>
      <w:lang w:val="sq-AL"/>
    </w:rPr>
  </w:style>
  <w:style w:type="paragraph" w:customStyle="1" w:styleId="JuHi">
    <w:name w:val="Ju_H_i"/>
    <w:aliases w:val="_Head_6"/>
    <w:basedOn w:val="Heading6"/>
    <w:next w:val="JuPara"/>
    <w:uiPriority w:val="17"/>
    <w:rsid w:val="006D24ED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6D24ED"/>
    <w:rPr>
      <w:rFonts w:asciiTheme="majorHAnsi" w:eastAsiaTheme="majorEastAsia" w:hAnsiTheme="majorHAnsi" w:cstheme="majorBidi"/>
      <w:b/>
      <w:bCs/>
      <w:color w:val="808080"/>
      <w:lang w:val="sq-AL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6D24ED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q-AL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6D24ED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6D24ED"/>
    <w:rPr>
      <w:rFonts w:asciiTheme="majorHAnsi" w:eastAsiaTheme="majorEastAsia" w:hAnsiTheme="majorHAnsi" w:cstheme="majorBidi"/>
      <w:i/>
      <w:iCs/>
      <w:lang w:val="sq-AL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6D24ED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6D24ED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uiPriority w:val="32"/>
    <w:qFormat/>
    <w:rsid w:val="006D24ED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6D24ED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6D24ED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6D24ED"/>
    <w:pPr>
      <w:numPr>
        <w:ilvl w:val="2"/>
        <w:numId w:val="10"/>
      </w:numPr>
    </w:pPr>
  </w:style>
  <w:style w:type="table" w:customStyle="1" w:styleId="ECHRTableFax">
    <w:name w:val="ECHR_Table_Fax"/>
    <w:basedOn w:val="TableNormal"/>
    <w:uiPriority w:val="99"/>
    <w:rsid w:val="006D24ED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6D24ED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6D24ED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6D24ED"/>
    <w:rPr>
      <w:rFonts w:asciiTheme="majorHAnsi" w:eastAsiaTheme="majorEastAsia" w:hAnsiTheme="majorHAnsi" w:cstheme="majorBidi"/>
      <w:sz w:val="20"/>
      <w:szCs w:val="20"/>
      <w:lang w:val="sq-AL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6D24ED"/>
    <w:rPr>
      <w:rFonts w:asciiTheme="majorHAnsi" w:eastAsiaTheme="majorEastAsia" w:hAnsiTheme="majorHAnsi" w:cstheme="majorBidi"/>
      <w:i/>
      <w:iCs/>
      <w:spacing w:val="5"/>
      <w:sz w:val="20"/>
      <w:szCs w:val="20"/>
      <w:lang w:val="sq-AL" w:bidi="en-US"/>
    </w:rPr>
  </w:style>
  <w:style w:type="paragraph" w:styleId="Title">
    <w:name w:val="Title"/>
    <w:basedOn w:val="Normal"/>
    <w:next w:val="Normal"/>
    <w:link w:val="TitleChar"/>
    <w:uiPriority w:val="98"/>
    <w:qFormat/>
    <w:rsid w:val="006D24E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rsid w:val="006D24ED"/>
    <w:rPr>
      <w:rFonts w:asciiTheme="majorHAnsi" w:eastAsiaTheme="majorEastAsia" w:hAnsiTheme="majorHAnsi" w:cstheme="majorBidi"/>
      <w:spacing w:val="5"/>
      <w:sz w:val="52"/>
      <w:szCs w:val="52"/>
      <w:lang w:val="sq-AL" w:bidi="en-US"/>
    </w:rPr>
  </w:style>
  <w:style w:type="paragraph" w:styleId="Subtitle">
    <w:name w:val="Subtitle"/>
    <w:basedOn w:val="Normal"/>
    <w:next w:val="Normal"/>
    <w:link w:val="SubtitleChar"/>
    <w:uiPriority w:val="98"/>
    <w:qFormat/>
    <w:rsid w:val="006D24ED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rsid w:val="006D24ED"/>
    <w:rPr>
      <w:rFonts w:asciiTheme="majorHAnsi" w:eastAsiaTheme="majorEastAsia" w:hAnsiTheme="majorHAnsi" w:cstheme="majorBidi"/>
      <w:i/>
      <w:iCs/>
      <w:spacing w:val="13"/>
      <w:sz w:val="24"/>
      <w:szCs w:val="24"/>
      <w:lang w:val="sq-AL" w:bidi="en-US"/>
    </w:rPr>
  </w:style>
  <w:style w:type="character" w:styleId="Strong">
    <w:name w:val="Strong"/>
    <w:uiPriority w:val="98"/>
    <w:qFormat/>
    <w:rsid w:val="006D24ED"/>
    <w:rPr>
      <w:b/>
      <w:bCs/>
    </w:rPr>
  </w:style>
  <w:style w:type="character" w:styleId="Emphasis">
    <w:name w:val="Emphasis"/>
    <w:uiPriority w:val="98"/>
    <w:qFormat/>
    <w:rsid w:val="006D24E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qFormat/>
    <w:rsid w:val="006D24ED"/>
  </w:style>
  <w:style w:type="character" w:customStyle="1" w:styleId="NoSpacingChar">
    <w:name w:val="No Spacing Char"/>
    <w:basedOn w:val="DefaultParagraphFont"/>
    <w:link w:val="NoSpacing"/>
    <w:uiPriority w:val="98"/>
    <w:rsid w:val="006D24ED"/>
    <w:rPr>
      <w:sz w:val="24"/>
      <w:szCs w:val="24"/>
      <w:lang w:val="sq-AL"/>
    </w:rPr>
  </w:style>
  <w:style w:type="paragraph" w:styleId="ListParagraph">
    <w:name w:val="List Paragraph"/>
    <w:basedOn w:val="Normal"/>
    <w:uiPriority w:val="98"/>
    <w:qFormat/>
    <w:rsid w:val="006D24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qFormat/>
    <w:rsid w:val="006D24ED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rsid w:val="006D24ED"/>
    <w:rPr>
      <w:i/>
      <w:iCs/>
      <w:sz w:val="24"/>
      <w:szCs w:val="24"/>
      <w:lang w:val="sq-AL" w:bidi="en-US"/>
    </w:rPr>
  </w:style>
  <w:style w:type="paragraph" w:styleId="IntenseQuote">
    <w:name w:val="Intense Quote"/>
    <w:basedOn w:val="Normal"/>
    <w:next w:val="Normal"/>
    <w:link w:val="IntenseQuoteChar"/>
    <w:uiPriority w:val="98"/>
    <w:qFormat/>
    <w:rsid w:val="006D24E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6D24ED"/>
    <w:rPr>
      <w:b/>
      <w:bCs/>
      <w:i/>
      <w:iCs/>
      <w:sz w:val="24"/>
      <w:szCs w:val="24"/>
      <w:lang w:val="sq-AL" w:bidi="en-US"/>
    </w:rPr>
  </w:style>
  <w:style w:type="character" w:styleId="SubtleEmphasis">
    <w:name w:val="Subtle Emphasis"/>
    <w:uiPriority w:val="98"/>
    <w:qFormat/>
    <w:rsid w:val="006D24ED"/>
    <w:rPr>
      <w:i/>
      <w:iCs/>
    </w:rPr>
  </w:style>
  <w:style w:type="character" w:styleId="IntenseEmphasis">
    <w:name w:val="Intense Emphasis"/>
    <w:uiPriority w:val="98"/>
    <w:qFormat/>
    <w:rsid w:val="006D24ED"/>
    <w:rPr>
      <w:b/>
      <w:bCs/>
    </w:rPr>
  </w:style>
  <w:style w:type="character" w:styleId="SubtleReference">
    <w:name w:val="Subtle Reference"/>
    <w:uiPriority w:val="98"/>
    <w:qFormat/>
    <w:rsid w:val="006D24ED"/>
    <w:rPr>
      <w:smallCaps/>
    </w:rPr>
  </w:style>
  <w:style w:type="character" w:styleId="IntenseReference">
    <w:name w:val="Intense Reference"/>
    <w:uiPriority w:val="98"/>
    <w:qFormat/>
    <w:rsid w:val="006D24ED"/>
    <w:rPr>
      <w:smallCaps/>
      <w:spacing w:val="5"/>
      <w:u w:val="single"/>
    </w:rPr>
  </w:style>
  <w:style w:type="character" w:styleId="BookTitle">
    <w:name w:val="Book Title"/>
    <w:uiPriority w:val="98"/>
    <w:qFormat/>
    <w:rsid w:val="006D24ED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6D24ED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6D24ED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6D24ED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6D24ED"/>
  </w:style>
  <w:style w:type="paragraph" w:styleId="BlockText">
    <w:name w:val="Block Text"/>
    <w:basedOn w:val="Normal"/>
    <w:uiPriority w:val="98"/>
    <w:semiHidden/>
    <w:rsid w:val="006D24ED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6D24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6D24ED"/>
    <w:rPr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8"/>
    <w:semiHidden/>
    <w:rsid w:val="006D24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6D24ED"/>
    <w:rPr>
      <w:sz w:val="24"/>
      <w:szCs w:val="24"/>
      <w:lang w:val="sq-AL"/>
    </w:rPr>
  </w:style>
  <w:style w:type="paragraph" w:styleId="BodyText3">
    <w:name w:val="Body Text 3"/>
    <w:basedOn w:val="Normal"/>
    <w:link w:val="BodyText3Char"/>
    <w:uiPriority w:val="98"/>
    <w:semiHidden/>
    <w:rsid w:val="006D24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6D24ED"/>
    <w:rPr>
      <w:sz w:val="16"/>
      <w:szCs w:val="16"/>
      <w:lang w:val="sq-AL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6D24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6D24ED"/>
    <w:rPr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iPriority w:val="98"/>
    <w:semiHidden/>
    <w:rsid w:val="006D24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6D24ED"/>
    <w:rPr>
      <w:sz w:val="24"/>
      <w:szCs w:val="24"/>
      <w:lang w:val="sq-AL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6D24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6D24ED"/>
    <w:rPr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8"/>
    <w:semiHidden/>
    <w:rsid w:val="006D24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6D24ED"/>
    <w:rPr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uiPriority w:val="98"/>
    <w:semiHidden/>
    <w:rsid w:val="006D24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6D24ED"/>
    <w:rPr>
      <w:sz w:val="16"/>
      <w:szCs w:val="16"/>
      <w:lang w:val="sq-AL"/>
    </w:rPr>
  </w:style>
  <w:style w:type="paragraph" w:styleId="Caption">
    <w:name w:val="caption"/>
    <w:basedOn w:val="Normal"/>
    <w:next w:val="Normal"/>
    <w:uiPriority w:val="98"/>
    <w:semiHidden/>
    <w:qFormat/>
    <w:rsid w:val="006D24ED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6D24E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6D24ED"/>
    <w:rPr>
      <w:sz w:val="24"/>
      <w:szCs w:val="24"/>
      <w:lang w:val="sq-AL"/>
    </w:rPr>
  </w:style>
  <w:style w:type="table" w:styleId="ColorfulGrid">
    <w:name w:val="Colorful Grid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6D2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6D24ED"/>
    <w:rPr>
      <w:b/>
      <w:bCs/>
      <w:sz w:val="20"/>
      <w:szCs w:val="20"/>
      <w:lang w:val="sq-AL"/>
    </w:rPr>
  </w:style>
  <w:style w:type="table" w:styleId="DarkList">
    <w:name w:val="Dark List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6D24ED"/>
  </w:style>
  <w:style w:type="character" w:customStyle="1" w:styleId="DateChar">
    <w:name w:val="Date Char"/>
    <w:basedOn w:val="DefaultParagraphFont"/>
    <w:link w:val="Date"/>
    <w:uiPriority w:val="98"/>
    <w:semiHidden/>
    <w:rsid w:val="006D24ED"/>
    <w:rPr>
      <w:sz w:val="24"/>
      <w:szCs w:val="24"/>
      <w:lang w:val="sq-AL"/>
    </w:rPr>
  </w:style>
  <w:style w:type="paragraph" w:styleId="DocumentMap">
    <w:name w:val="Document Map"/>
    <w:basedOn w:val="Normal"/>
    <w:link w:val="DocumentMap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styleId="E-mailSignature">
    <w:name w:val="E-mail Signature"/>
    <w:basedOn w:val="Normal"/>
    <w:link w:val="E-mailSignatureChar"/>
    <w:uiPriority w:val="98"/>
    <w:semiHidden/>
    <w:rsid w:val="006D24ED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6D24ED"/>
    <w:rPr>
      <w:sz w:val="24"/>
      <w:szCs w:val="24"/>
      <w:lang w:val="sq-AL"/>
    </w:rPr>
  </w:style>
  <w:style w:type="character" w:styleId="EndnoteReference">
    <w:name w:val="endnote reference"/>
    <w:basedOn w:val="DefaultParagraphFont"/>
    <w:uiPriority w:val="98"/>
    <w:semiHidden/>
    <w:rsid w:val="006D24ED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6D24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6D24ED"/>
    <w:rPr>
      <w:sz w:val="20"/>
      <w:szCs w:val="20"/>
      <w:lang w:val="sq-AL"/>
    </w:rPr>
  </w:style>
  <w:style w:type="paragraph" w:styleId="EnvelopeAddress">
    <w:name w:val="envelope address"/>
    <w:basedOn w:val="Normal"/>
    <w:uiPriority w:val="98"/>
    <w:semiHidden/>
    <w:rsid w:val="006D24ED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6D24E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6D24ED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6D24ED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6D24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6D24ED"/>
    <w:rPr>
      <w:sz w:val="20"/>
      <w:szCs w:val="20"/>
      <w:lang w:val="sq-AL"/>
    </w:rPr>
  </w:style>
  <w:style w:type="character" w:styleId="HTMLAcronym">
    <w:name w:val="HTML Acronym"/>
    <w:basedOn w:val="DefaultParagraphFont"/>
    <w:uiPriority w:val="98"/>
    <w:semiHidden/>
    <w:rsid w:val="006D24ED"/>
  </w:style>
  <w:style w:type="paragraph" w:styleId="HTMLAddress">
    <w:name w:val="HTML Address"/>
    <w:basedOn w:val="Normal"/>
    <w:link w:val="HTMLAddressChar"/>
    <w:uiPriority w:val="98"/>
    <w:semiHidden/>
    <w:rsid w:val="006D24E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6D24ED"/>
    <w:rPr>
      <w:i/>
      <w:iCs/>
      <w:sz w:val="24"/>
      <w:szCs w:val="24"/>
      <w:lang w:val="sq-AL"/>
    </w:rPr>
  </w:style>
  <w:style w:type="character" w:styleId="HTMLCite">
    <w:name w:val="HTML Cite"/>
    <w:basedOn w:val="DefaultParagraphFont"/>
    <w:uiPriority w:val="98"/>
    <w:semiHidden/>
    <w:rsid w:val="006D24ED"/>
    <w:rPr>
      <w:i/>
      <w:iCs/>
    </w:rPr>
  </w:style>
  <w:style w:type="character" w:styleId="HTMLCode">
    <w:name w:val="HTML Code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6D24ED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6D24ED"/>
    <w:rPr>
      <w:rFonts w:ascii="Consolas" w:hAnsi="Consolas" w:cs="Consolas"/>
      <w:sz w:val="20"/>
      <w:szCs w:val="20"/>
      <w:lang w:val="sq-AL"/>
    </w:rPr>
  </w:style>
  <w:style w:type="character" w:styleId="HTMLSample">
    <w:name w:val="HTML Sample"/>
    <w:basedOn w:val="DefaultParagraphFont"/>
    <w:uiPriority w:val="98"/>
    <w:semiHidden/>
    <w:rsid w:val="006D24E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6D24ED"/>
    <w:rPr>
      <w:i/>
      <w:iCs/>
    </w:rPr>
  </w:style>
  <w:style w:type="character" w:styleId="Hyperlink">
    <w:name w:val="Hyperlink"/>
    <w:basedOn w:val="DefaultParagraphFont"/>
    <w:uiPriority w:val="98"/>
    <w:rsid w:val="006D24ED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6D24ED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6D24ED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6D24ED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6D24ED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6D24ED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6D24ED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6D24ED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6D24ED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6D24ED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6D24E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6D24ED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6D24ED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6D24ED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6D24ED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6D24ED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6D24ED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6D24ED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6D24ED"/>
  </w:style>
  <w:style w:type="paragraph" w:styleId="List">
    <w:name w:val="List"/>
    <w:basedOn w:val="Normal"/>
    <w:uiPriority w:val="98"/>
    <w:semiHidden/>
    <w:rsid w:val="006D24ED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6D24ED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6D24ED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6D24ED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6D24ED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6D24ED"/>
    <w:pPr>
      <w:numPr>
        <w:numId w:val="11"/>
      </w:numPr>
    </w:pPr>
  </w:style>
  <w:style w:type="paragraph" w:styleId="ListBullet2">
    <w:name w:val="List Bullet 2"/>
    <w:basedOn w:val="Normal"/>
    <w:uiPriority w:val="98"/>
    <w:semiHidden/>
    <w:rsid w:val="006D24ED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8"/>
    <w:semiHidden/>
    <w:rsid w:val="006D24ED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8"/>
    <w:semiHidden/>
    <w:rsid w:val="006D24ED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6D24ED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6D24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6D24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6D24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6D24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6D24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6D24ED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6D24ED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6D24ED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6D24ED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6D24ED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6D2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6D24ED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6D2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6D24ED"/>
    <w:rPr>
      <w:rFonts w:asciiTheme="majorHAnsi" w:eastAsiaTheme="majorEastAsia" w:hAnsiTheme="majorHAnsi" w:cstheme="majorBidi"/>
      <w:sz w:val="24"/>
      <w:szCs w:val="24"/>
      <w:shd w:val="pct20" w:color="auto" w:fill="auto"/>
      <w:lang w:val="sq-AL"/>
    </w:rPr>
  </w:style>
  <w:style w:type="paragraph" w:styleId="NormalWeb">
    <w:name w:val="Normal (Web)"/>
    <w:basedOn w:val="Normal"/>
    <w:uiPriority w:val="98"/>
    <w:semiHidden/>
    <w:rsid w:val="006D24E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6D24ED"/>
    <w:pPr>
      <w:ind w:left="720"/>
    </w:pPr>
  </w:style>
  <w:style w:type="table" w:customStyle="1" w:styleId="ECHRTableNoLines">
    <w:name w:val="ECHR_Table_No_Lines"/>
    <w:basedOn w:val="TableNormal"/>
    <w:uiPriority w:val="99"/>
    <w:rsid w:val="006D24ED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6D24ED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6D24ED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6D24E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6D24ED"/>
    <w:rPr>
      <w:rFonts w:ascii="Consolas" w:hAnsi="Consolas" w:cs="Consolas"/>
      <w:sz w:val="21"/>
      <w:szCs w:val="21"/>
      <w:lang w:val="sq-AL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6D24ED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6D24ED"/>
    <w:rPr>
      <w:sz w:val="24"/>
      <w:szCs w:val="24"/>
      <w:lang w:val="sq-AL"/>
    </w:rPr>
  </w:style>
  <w:style w:type="paragraph" w:styleId="Signature">
    <w:name w:val="Signature"/>
    <w:basedOn w:val="Normal"/>
    <w:link w:val="SignatureChar"/>
    <w:uiPriority w:val="98"/>
    <w:semiHidden/>
    <w:rsid w:val="006D24E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6D24ED"/>
    <w:rPr>
      <w:sz w:val="24"/>
      <w:szCs w:val="24"/>
      <w:lang w:val="sq-AL"/>
    </w:rPr>
  </w:style>
  <w:style w:type="table" w:styleId="Table3Deffects1">
    <w:name w:val="Table 3D effects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D24ED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D24ED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D24ED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6D24ED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6D24ED"/>
  </w:style>
  <w:style w:type="table" w:styleId="TableProfessional">
    <w:name w:val="Table Professional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6D24ED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6D24E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6D24ED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6D24ED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rsid w:val="006D24ED"/>
    <w:rPr>
      <w:sz w:val="24"/>
      <w:szCs w:val="24"/>
      <w:lang w:val="sq-AL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rsid w:val="006D24ED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6D24ED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"/>
    <w:next w:val="JuPara"/>
    <w:uiPriority w:val="32"/>
    <w:rsid w:val="006D24ED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6D24ED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6D24ED"/>
    <w:rPr>
      <w:sz w:val="24"/>
      <w:szCs w:val="24"/>
      <w:lang w:val="sq-AL"/>
    </w:rPr>
  </w:style>
  <w:style w:type="paragraph" w:customStyle="1" w:styleId="ECHRHeaderLandscape">
    <w:name w:val="ECHR_Header_Landscape"/>
    <w:aliases w:val="_Header_Landscape"/>
    <w:basedOn w:val="JuHeader"/>
    <w:uiPriority w:val="29"/>
    <w:rsid w:val="006D24ED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qFormat/>
    <w:rsid w:val="006D24ED"/>
    <w:pPr>
      <w:numPr>
        <w:numId w:val="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rsid w:val="006D24ED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rsid w:val="006D24ED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rsid w:val="006D24ED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qFormat/>
    <w:rsid w:val="006D24ED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6D24ED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qFormat/>
    <w:rsid w:val="006D24ED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rsid w:val="006D24ED"/>
    <w:rPr>
      <w:rFonts w:ascii="Arial" w:hAnsi="Arial"/>
      <w:i/>
      <w:color w:val="002856"/>
      <w:sz w:val="32"/>
      <w:szCs w:val="24"/>
      <w:lang w:val="sq-AL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rsid w:val="006D24ED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qFormat/>
    <w:rsid w:val="006D24ED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qFormat/>
    <w:rsid w:val="006D24ED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rsid w:val="006D24ED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rsid w:val="006D24ED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"/>
    <w:uiPriority w:val="23"/>
    <w:qFormat/>
    <w:rsid w:val="006D24ED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rsid w:val="006D24ED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rsid w:val="006D24ED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"/>
    <w:uiPriority w:val="8"/>
    <w:qFormat/>
    <w:rsid w:val="006D24ED"/>
    <w:pPr>
      <w:ind w:left="567" w:hanging="567"/>
      <w:jc w:val="both"/>
    </w:pPr>
  </w:style>
  <w:style w:type="paragraph" w:customStyle="1" w:styleId="ECHRParaIndent">
    <w:name w:val="ECHR_Para_Indent"/>
    <w:aliases w:val="_Indent"/>
    <w:basedOn w:val="Normal"/>
    <w:uiPriority w:val="7"/>
    <w:qFormat/>
    <w:rsid w:val="006D24ED"/>
    <w:pPr>
      <w:spacing w:before="120" w:after="120"/>
      <w:ind w:left="284"/>
      <w:jc w:val="both"/>
    </w:pPr>
  </w:style>
  <w:style w:type="character" w:customStyle="1" w:styleId="ECHRRed">
    <w:name w:val="ECHR_Red"/>
    <w:aliases w:val="_Red"/>
    <w:basedOn w:val="DefaultParagraphFont"/>
    <w:uiPriority w:val="15"/>
    <w:qFormat/>
    <w:rsid w:val="006D24ED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6D24ED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6D24ED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6D24ED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qFormat/>
    <w:rsid w:val="006D24ED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qFormat/>
    <w:rsid w:val="006D24ED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6D24ED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6D24ED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6D24ED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6D24ED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6D24ED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rsid w:val="006D24ED"/>
    <w:rPr>
      <w:sz w:val="4"/>
    </w:rPr>
  </w:style>
  <w:style w:type="table" w:customStyle="1" w:styleId="ECHRTableGrey">
    <w:name w:val="ECHR_Table_Grey"/>
    <w:basedOn w:val="TableNormal"/>
    <w:uiPriority w:val="99"/>
    <w:rsid w:val="006D24ED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6D24ED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JuParaChar">
    <w:name w:val="Ju_Para Char"/>
    <w:aliases w:val="_Para Char"/>
    <w:link w:val="JuPara"/>
    <w:uiPriority w:val="4"/>
    <w:rsid w:val="00DC2D95"/>
    <w:rPr>
      <w:sz w:val="24"/>
      <w:szCs w:val="24"/>
      <w:lang w:val="sq-AL"/>
    </w:rPr>
  </w:style>
  <w:style w:type="table" w:customStyle="1" w:styleId="GridTable1Light1">
    <w:name w:val="Grid Table 1 Light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CHRListTable2">
    <w:name w:val="ECHR_List_Table2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GridTable1Light-Accent11">
    <w:name w:val="Grid Table 1 Light - Accent 1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CHRA1StyleBulletedSquare1">
    <w:name w:val="ECHR_A1_Style_Bulleted_Square1"/>
    <w:basedOn w:val="NoList"/>
    <w:rsid w:val="00DC2D95"/>
  </w:style>
  <w:style w:type="numbering" w:customStyle="1" w:styleId="ECHRA1StyleNumberedList1">
    <w:name w:val="ECHR_A1_Style_Numbered_List1"/>
    <w:basedOn w:val="NoList"/>
    <w:rsid w:val="00DC2D95"/>
  </w:style>
  <w:style w:type="table" w:customStyle="1" w:styleId="ECHRDNTable1">
    <w:name w:val="ECHR_DN_Table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">
    <w:name w:val="ECHR_Header_Table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">
    <w:name w:val="ECHR_Header_Table_Reduced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">
    <w:name w:val="ECHR_List_Table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">
    <w:name w:val="ECHR_Table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">
    <w:name w:val="ECHR_Table_Box_Header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1">
    <w:name w:val="ECHR_Table_Fax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">
    <w:name w:val="ECHR_Table_For_Internal_Use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">
    <w:name w:val="ECHR_Table_Memo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">
    <w:name w:val="ECHR_Table_No_Lines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">
    <w:name w:val="ECHR_Table_Odd_Banded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">
    <w:name w:val="ECHR_Table_Simple_Box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">
    <w:name w:val="ECHR_Ltr_Table_Address1"/>
    <w:basedOn w:val="TableNormal"/>
    <w:uiPriority w:val="99"/>
    <w:rsid w:val="00DC2D95"/>
    <w:tblPr>
      <w:tblInd w:w="5103" w:type="dxa"/>
    </w:tblPr>
  </w:style>
  <w:style w:type="table" w:customStyle="1" w:styleId="ECHRPCFTableStyle1">
    <w:name w:val="ECHR_PCF_Table_Style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0">
    <w:name w:val="Table Grid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">
    <w:name w:val="ECHR_UG_Table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">
    <w:name w:val="ECHR_UG_Table_White_Box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">
    <w:name w:val="ECHR_A1_Style_List1"/>
    <w:basedOn w:val="NoList"/>
    <w:uiPriority w:val="99"/>
    <w:rsid w:val="00DC2D95"/>
  </w:style>
  <w:style w:type="table" w:customStyle="1" w:styleId="ECHRTable20161">
    <w:name w:val="ECHR_Table_2016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">
    <w:name w:val="ECHR_Table_2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">
    <w:name w:val="ECHR_Table_2019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">
    <w:name w:val="Medium Shading 2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D95"/>
    <w:rPr>
      <w:color w:val="605E5C"/>
      <w:shd w:val="clear" w:color="auto" w:fill="E1DFDD"/>
    </w:rPr>
  </w:style>
  <w:style w:type="table" w:customStyle="1" w:styleId="GridTable1Light-Accent21">
    <w:name w:val="Grid Table 1 Light - Accent 2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ListTable1Light1">
    <w:name w:val="List Table 1 Light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DC2D95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C2D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C2D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C2D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C2D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DC2D95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DC2D95"/>
    <w:rPr>
      <w:color w:val="0000FF"/>
      <w:u w:val="single"/>
      <w:shd w:val="clear" w:color="auto" w:fill="F3F2F1"/>
    </w:rPr>
  </w:style>
  <w:style w:type="table" w:customStyle="1" w:styleId="TableGridLight1">
    <w:name w:val="Table Grid Light1"/>
    <w:basedOn w:val="TableNormal"/>
    <w:uiPriority w:val="40"/>
    <w:rsid w:val="00DC2D95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  <w:style w:type="numbering" w:customStyle="1" w:styleId="ECHRA1StyleBulletedSquare2">
    <w:name w:val="ECHR_A1_Style_Bulleted_Square2"/>
    <w:basedOn w:val="NoList"/>
    <w:rsid w:val="00DC2D95"/>
  </w:style>
  <w:style w:type="numbering" w:customStyle="1" w:styleId="ECHRA1StyleList2">
    <w:name w:val="ECHR_A1_Style_List2"/>
    <w:basedOn w:val="NoList"/>
    <w:uiPriority w:val="99"/>
    <w:rsid w:val="00DC2D95"/>
  </w:style>
  <w:style w:type="numbering" w:customStyle="1" w:styleId="ECHRA1StyleNumberedList2">
    <w:name w:val="ECHR_A1_Style_Numbered_List2"/>
    <w:basedOn w:val="NoList"/>
    <w:rsid w:val="00DC2D95"/>
  </w:style>
  <w:style w:type="character" w:customStyle="1" w:styleId="NoteHeadingChar1">
    <w:name w:val="Note Heading Char1"/>
    <w:basedOn w:val="DefaultParagraphFont"/>
    <w:uiPriority w:val="99"/>
    <w:semiHidden/>
    <w:rsid w:val="00DC2D95"/>
    <w:rPr>
      <w:sz w:val="24"/>
      <w:szCs w:val="24"/>
      <w:lang w:val="sq-AL"/>
    </w:rPr>
  </w:style>
  <w:style w:type="numbering" w:customStyle="1" w:styleId="ECHRA1StyleBulletedSquare21">
    <w:name w:val="ECHR_A1_Style_Bulleted_Square21"/>
    <w:basedOn w:val="NoList"/>
    <w:rsid w:val="00DC2D95"/>
  </w:style>
  <w:style w:type="numbering" w:customStyle="1" w:styleId="ECHRA1StyleNumberedList21">
    <w:name w:val="ECHR_A1_Style_Numbered_List21"/>
    <w:basedOn w:val="NoList"/>
    <w:rsid w:val="00DC2D95"/>
  </w:style>
  <w:style w:type="table" w:customStyle="1" w:styleId="ECHRDNTable2">
    <w:name w:val="ECHR_DN_Table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2">
    <w:name w:val="ECHR_Header_Table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2">
    <w:name w:val="ECHR_Header_Table_Reduced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3">
    <w:name w:val="ECHR_List_Table3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20">
    <w:name w:val="ECHR_Table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2">
    <w:name w:val="ECHR_Table_Box_Header2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2">
    <w:name w:val="ECHR_Table_Fax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2">
    <w:name w:val="ECHR_Table_For_Internal_Use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2">
    <w:name w:val="ECHR_Table_Memo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2">
    <w:name w:val="ECHR_Table_No_Lines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2">
    <w:name w:val="ECHR_Table_Odd_Banded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2">
    <w:name w:val="ECHR_Table_Simple_Box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2">
    <w:name w:val="ECHR_Ltr_Table_Address2"/>
    <w:basedOn w:val="TableNormal"/>
    <w:uiPriority w:val="99"/>
    <w:rsid w:val="00DC2D95"/>
    <w:tblPr>
      <w:tblInd w:w="5103" w:type="dxa"/>
    </w:tblPr>
  </w:style>
  <w:style w:type="table" w:customStyle="1" w:styleId="ECHRPCFTableStyle2">
    <w:name w:val="ECHR_PCF_Table_Style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20">
    <w:name w:val="Table Grid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2">
    <w:name w:val="ECHR_UG_Table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2">
    <w:name w:val="ECHR_UG_Table_White_Box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">
    <w:name w:val="ECHR_Table_Grey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21">
    <w:name w:val="ECHR_A1_Style_List21"/>
    <w:basedOn w:val="NoList"/>
    <w:uiPriority w:val="99"/>
    <w:rsid w:val="00DC2D95"/>
  </w:style>
  <w:style w:type="table" w:customStyle="1" w:styleId="ECHRTable20162">
    <w:name w:val="ECHR_Table_2016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2">
    <w:name w:val="ECHR_Table_2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2">
    <w:name w:val="ECHR_Table_2019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2">
    <w:name w:val="Medium Shading 2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1">
    <w:name w:val="ECHR_A1_Style_Bulleted_Square11"/>
    <w:basedOn w:val="NoList"/>
    <w:rsid w:val="00DC2D95"/>
  </w:style>
  <w:style w:type="numbering" w:customStyle="1" w:styleId="ECHRA1StyleList11">
    <w:name w:val="ECHR_A1_Style_List11"/>
    <w:basedOn w:val="NoList"/>
    <w:uiPriority w:val="99"/>
    <w:rsid w:val="00DC2D95"/>
  </w:style>
  <w:style w:type="numbering" w:customStyle="1" w:styleId="ECHRA1StyleNumberedList11">
    <w:name w:val="ECHR_A1_Style_Numbered_List11"/>
    <w:basedOn w:val="NoList"/>
    <w:rsid w:val="00DC2D95"/>
  </w:style>
  <w:style w:type="table" w:customStyle="1" w:styleId="ECHRTable201911">
    <w:name w:val="ECHR_Table_2019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1">
    <w:name w:val="ECHR_Table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1">
    <w:name w:val="ECHR_Table_Box_Header1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LtrTableAddress11">
    <w:name w:val="ECHR_Ltr_Table_Address11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1">
    <w:name w:val="Table Grid11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">
    <w:name w:val="ECHR_UG_Table11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">
    <w:name w:val="ECHR_UG_Table_White_Box11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1">
    <w:name w:val="ECHR_PCF_Table_Style11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1">
    <w:name w:val="ECHR_Table_Fax11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1">
    <w:name w:val="ECHR_Table_Memo11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1">
    <w:name w:val="ECHR_DN_Table11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1">
    <w:name w:val="ECHR_Table_Simple_Box11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1">
    <w:name w:val="ECHR_Table_No_Lines11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1">
    <w:name w:val="ECHR_Table_For_Internal_Use11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1">
    <w:name w:val="ECHR_List_Table11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1">
    <w:name w:val="ECHR_Header_Table11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1">
    <w:name w:val="ECHR_Table_Odd_Banded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1">
    <w:name w:val="ECHR_Header_Table_Reduced11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next w:val="DarkList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rsid w:val="00DC2D95"/>
    <w:rPr>
      <w:color w:val="00548C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rsid w:val="00DC2D95"/>
    <w:rPr>
      <w:color w:val="8F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rsid w:val="00DC2D95"/>
    <w:rPr>
      <w:color w:val="70707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rsid w:val="00DC2D95"/>
    <w:rPr>
      <w:color w:val="393939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1">
    <w:name w:val="Medium Shading 211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DC2D95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DC2D95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DC2D95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DC2D95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CHRTable211">
    <w:name w:val="ECHR_Table_2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1">
    <w:name w:val="ECHR_Table_2016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ListTable21">
    <w:name w:val="ECHR_List_Table21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numbering" w:customStyle="1" w:styleId="ECHRA1StyleBulletedSquare111">
    <w:name w:val="ECHR_A1_Style_Bulleted_Square111"/>
    <w:basedOn w:val="NoList"/>
    <w:rsid w:val="00DC2D95"/>
  </w:style>
  <w:style w:type="numbering" w:customStyle="1" w:styleId="ECHRA1StyleNumberedList111">
    <w:name w:val="ECHR_A1_Style_Numbered_List111"/>
    <w:basedOn w:val="NoList"/>
    <w:rsid w:val="00DC2D95"/>
  </w:style>
  <w:style w:type="table" w:customStyle="1" w:styleId="ECHRDNTable111">
    <w:name w:val="ECHR_DN_Table11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1">
    <w:name w:val="ECHR_Header_Table11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1">
    <w:name w:val="ECHR_Header_Table_Reduced11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1">
    <w:name w:val="ECHR_List_Table11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1">
    <w:name w:val="ECHR_Table1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1">
    <w:name w:val="ECHR_Table_Fax11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1">
    <w:name w:val="ECHR_Table_For_Internal_Use11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1">
    <w:name w:val="ECHR_Table_Memo11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1">
    <w:name w:val="ECHR_Table_No_Lines11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1">
    <w:name w:val="ECHR_Table_Odd_Banded1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1">
    <w:name w:val="ECHR_Table_Simple_Box11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1">
    <w:name w:val="ECHR_Ltr_Table_Address111"/>
    <w:basedOn w:val="TableNormal"/>
    <w:uiPriority w:val="99"/>
    <w:rsid w:val="00DC2D95"/>
    <w:tblPr>
      <w:tblInd w:w="5103" w:type="dxa"/>
    </w:tblPr>
  </w:style>
  <w:style w:type="table" w:customStyle="1" w:styleId="ECHRPCFTableStyle111">
    <w:name w:val="ECHR_PCF_Table_Style11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1">
    <w:name w:val="ECHR_UG_Table11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1">
    <w:name w:val="ECHR_UG_Table_White_Box11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1">
    <w:name w:val="ECHR_Table_Grey1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111">
    <w:name w:val="ECHR_A1_Style_List111"/>
    <w:basedOn w:val="NoList"/>
    <w:uiPriority w:val="99"/>
    <w:rsid w:val="00DC2D95"/>
  </w:style>
  <w:style w:type="table" w:customStyle="1" w:styleId="ECHRTable2016111">
    <w:name w:val="ECHR_Table_2016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1">
    <w:name w:val="ECHR_Table_21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1">
    <w:name w:val="ECHR_Table_2019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1">
    <w:name w:val="Medium Shading 211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2">
    <w:name w:val="Colorful Grid2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2">
    <w:name w:val="Colorful Grid - Accent 12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2">
    <w:name w:val="Colorful Grid - Accent 32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2">
    <w:name w:val="Colorful Grid - Accent 42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2">
    <w:name w:val="Colorful Grid - Accent 62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2">
    <w:name w:val="Colorful List2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2">
    <w:name w:val="Colorful List - Accent 12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2">
    <w:name w:val="Colorful List - Accent 22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2">
    <w:name w:val="Colorful List - Accent 32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2">
    <w:name w:val="Colorful List - Accent 42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2">
    <w:name w:val="Colorful List - Accent 52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2">
    <w:name w:val="Colorful List - Accent 62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2">
    <w:name w:val="Colorful Shading2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2">
    <w:name w:val="Colorful Shading - Accent 12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2">
    <w:name w:val="Colorful Shading - Accent 22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2">
    <w:name w:val="Colorful Shading - Accent 32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2">
    <w:name w:val="Colorful Shading - Accent 42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2">
    <w:name w:val="Colorful Shading - Accent 52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2">
    <w:name w:val="Colorful Shading - Accent 62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2">
    <w:name w:val="Dark List2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2">
    <w:name w:val="Dark List - Accent 12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2">
    <w:name w:val="Dark List - Accent 22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2">
    <w:name w:val="Dark List - Accent 32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2">
    <w:name w:val="Dark List - Accent 42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2">
    <w:name w:val="Dark List - Accent 52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2">
    <w:name w:val="Dark List - Accent 62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2">
    <w:name w:val="Light Grid2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2">
    <w:name w:val="Light Grid - Accent 22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2">
    <w:name w:val="Light Grid - Accent 42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2">
    <w:name w:val="Light Grid - Accent 52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2">
    <w:name w:val="Light Grid - Accent 62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2">
    <w:name w:val="Light List2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2">
    <w:name w:val="Light List - Accent 22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2">
    <w:name w:val="Light List - Accent 32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2">
    <w:name w:val="Light List - Accent 42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2">
    <w:name w:val="Light List - Accent 62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2">
    <w:name w:val="Light Shading2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2">
    <w:name w:val="Light Shading - Accent 32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2">
    <w:name w:val="Light Shading - Accent 42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2">
    <w:name w:val="Light Shading - Accent 52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2">
    <w:name w:val="Light Shading - Accent 62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2">
    <w:name w:val="Medium Grid 12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2">
    <w:name w:val="Medium Grid 1 - Accent 12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2">
    <w:name w:val="Medium Grid 1 - Accent 22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2">
    <w:name w:val="Medium Grid 1 - Accent 32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2">
    <w:name w:val="Medium Grid 1 - Accent 42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2">
    <w:name w:val="Medium Grid 1 - Accent 52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2">
    <w:name w:val="Medium Grid 1 - Accent 62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2">
    <w:name w:val="Medium Grid 22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2">
    <w:name w:val="Medium Grid 2 - Accent 12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2">
    <w:name w:val="Medium Grid 2 - Accent 22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2">
    <w:name w:val="Medium Grid 2 - Accent 32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2">
    <w:name w:val="Medium Grid 2 - Accent 42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2">
    <w:name w:val="Medium Grid 2 - Accent 52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2">
    <w:name w:val="Medium Grid 2 - Accent 62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2">
    <w:name w:val="Medium Grid 32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2">
    <w:name w:val="Medium Grid 3 - Accent 12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2">
    <w:name w:val="Medium Grid 3 - Accent 22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2">
    <w:name w:val="Medium Grid 3 - Accent 32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2">
    <w:name w:val="Medium Grid 3 - Accent 42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2">
    <w:name w:val="Medium Grid 3 - Accent 52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2">
    <w:name w:val="Medium Grid 3 - Accent 62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2">
    <w:name w:val="Medium List 12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2">
    <w:name w:val="Medium List 1 - Accent 12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2">
    <w:name w:val="Medium List 1 - Accent 22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2">
    <w:name w:val="Medium List 1 - Accent 32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2">
    <w:name w:val="Medium List 1 - Accent 42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2">
    <w:name w:val="Medium List 1 - Accent 62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2">
    <w:name w:val="Medium List 22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2">
    <w:name w:val="Medium List 2 - Accent 12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2">
    <w:name w:val="Medium List 2 - Accent 22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2">
    <w:name w:val="Medium List 2 - Accent 32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2">
    <w:name w:val="Medium List 2 - Accent 42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2">
    <w:name w:val="Medium List 2 - Accent 62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2">
    <w:name w:val="Medium Shading 1 - Accent 22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2">
    <w:name w:val="Medium Shading 1 - Accent 32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2">
    <w:name w:val="Medium Shading 1 - Accent 42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2">
    <w:name w:val="Medium Shading 1 - Accent 62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2">
    <w:name w:val="Medium Shading 2 - Accent 42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2">
    <w:name w:val="Medium Shading 2 - Accent 52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2">
    <w:name w:val="Medium Shading 2 - Accent 62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3">
    <w:name w:val="ECHR_A1_Style_Bulleted_Square3"/>
    <w:basedOn w:val="NoList"/>
    <w:rsid w:val="00DC2D95"/>
  </w:style>
  <w:style w:type="numbering" w:customStyle="1" w:styleId="ECHRA1StyleNumberedList3">
    <w:name w:val="ECHR_A1_Style_Numbered_List3"/>
    <w:basedOn w:val="NoList"/>
    <w:rsid w:val="00DC2D95"/>
  </w:style>
  <w:style w:type="table" w:customStyle="1" w:styleId="ECHRDNTable3">
    <w:name w:val="ECHR_DN_Table3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3">
    <w:name w:val="ECHR_Header_Table3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3">
    <w:name w:val="ECHR_Header_Table_Reduced3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4">
    <w:name w:val="ECHR_List_Table4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Fax3">
    <w:name w:val="ECHR_Table_Fax3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3">
    <w:name w:val="ECHR_Table_For_Internal_Use3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3">
    <w:name w:val="ECHR_Table_Memo3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3">
    <w:name w:val="ECHR_Table_No_Lines3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SimpleBox3">
    <w:name w:val="ECHR_Table_Simple_Box3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3">
    <w:name w:val="ECHR_Ltr_Table_Address3"/>
    <w:basedOn w:val="TableNormal"/>
    <w:uiPriority w:val="99"/>
    <w:rsid w:val="00DC2D95"/>
    <w:tblPr>
      <w:tblInd w:w="5103" w:type="dxa"/>
    </w:tblPr>
  </w:style>
  <w:style w:type="table" w:customStyle="1" w:styleId="ECHRPCFTableStyle3">
    <w:name w:val="ECHR_PCF_Table_Style3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30">
    <w:name w:val="Table Grid3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3">
    <w:name w:val="ECHR_UG_Table3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3">
    <w:name w:val="ECHR_UG_Table_White_Box3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2">
    <w:name w:val="ECHR_Table_Grey2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3">
    <w:name w:val="ECHR_A1_Style_List3"/>
    <w:basedOn w:val="NoList"/>
    <w:uiPriority w:val="99"/>
    <w:rsid w:val="00DC2D95"/>
  </w:style>
  <w:style w:type="table" w:customStyle="1" w:styleId="ECHRTable20163">
    <w:name w:val="ECHR_Table_2016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3">
    <w:name w:val="ECHR_Table_23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3">
    <w:name w:val="ECHR_Table_2019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3">
    <w:name w:val="Medium Shading 23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2">
    <w:name w:val="ECHR_A1_Style_Bulleted_Square12"/>
    <w:basedOn w:val="NoList"/>
    <w:rsid w:val="00DC2D95"/>
  </w:style>
  <w:style w:type="numbering" w:customStyle="1" w:styleId="ECHRA1StyleList12">
    <w:name w:val="ECHR_A1_Style_List12"/>
    <w:basedOn w:val="NoList"/>
    <w:uiPriority w:val="99"/>
    <w:rsid w:val="00DC2D95"/>
  </w:style>
  <w:style w:type="numbering" w:customStyle="1" w:styleId="ECHRA1StyleNumberedList12">
    <w:name w:val="ECHR_A1_Style_Numbered_List12"/>
    <w:basedOn w:val="NoList"/>
    <w:rsid w:val="00DC2D95"/>
  </w:style>
  <w:style w:type="table" w:customStyle="1" w:styleId="ECHRTable201912">
    <w:name w:val="ECHR_Table_2019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2">
    <w:name w:val="ECHR_Table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LtrTableAddress12">
    <w:name w:val="ECHR_Ltr_Table_Address12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2">
    <w:name w:val="Table Grid12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2">
    <w:name w:val="ECHR_UG_Table12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2">
    <w:name w:val="ECHR_UG_Table_White_Box12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2">
    <w:name w:val="ECHR_PCF_Table_Style12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2">
    <w:name w:val="ECHR_Table_Fax12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2">
    <w:name w:val="ECHR_Table_Memo12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2">
    <w:name w:val="ECHR_DN_Table12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2">
    <w:name w:val="ECHR_Table_Simple_Box12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2">
    <w:name w:val="ECHR_Table_No_Lines12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2">
    <w:name w:val="ECHR_Table_For_Internal_Use12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2">
    <w:name w:val="ECHR_List_Table12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2">
    <w:name w:val="ECHR_Header_Table12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2">
    <w:name w:val="ECHR_Table_Odd_Banded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2">
    <w:name w:val="ECHR_Header_Table_Reduced12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12">
    <w:name w:val="Medium Shading 212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CHRTable212">
    <w:name w:val="ECHR_Table_2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2">
    <w:name w:val="ECHR_Table_2016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numbering" w:customStyle="1" w:styleId="ECHRA1StyleBulletedSquare112">
    <w:name w:val="ECHR_A1_Style_Bulleted_Square112"/>
    <w:basedOn w:val="NoList"/>
    <w:rsid w:val="00DC2D95"/>
  </w:style>
  <w:style w:type="numbering" w:customStyle="1" w:styleId="ECHRA1StyleNumberedList112">
    <w:name w:val="ECHR_A1_Style_Numbered_List112"/>
    <w:basedOn w:val="NoList"/>
    <w:rsid w:val="00DC2D95"/>
  </w:style>
  <w:style w:type="table" w:customStyle="1" w:styleId="ECHRDNTable112">
    <w:name w:val="ECHR_DN_Table11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2">
    <w:name w:val="ECHR_Header_Table11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2">
    <w:name w:val="ECHR_Header_Table_Reduced11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2">
    <w:name w:val="ECHR_List_Table112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2">
    <w:name w:val="ECHR_Table1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2">
    <w:name w:val="ECHR_Table_Fax11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2">
    <w:name w:val="ECHR_Table_For_Internal_Use11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2">
    <w:name w:val="ECHR_Table_Memo11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2">
    <w:name w:val="ECHR_Table_No_Lines11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2">
    <w:name w:val="ECHR_Table_Odd_Banded1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2">
    <w:name w:val="ECHR_Table_Simple_Box11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2">
    <w:name w:val="ECHR_Ltr_Table_Address112"/>
    <w:basedOn w:val="TableNormal"/>
    <w:uiPriority w:val="99"/>
    <w:rsid w:val="00DC2D95"/>
    <w:tblPr>
      <w:tblInd w:w="5103" w:type="dxa"/>
    </w:tblPr>
  </w:style>
  <w:style w:type="table" w:customStyle="1" w:styleId="ECHRPCFTableStyle112">
    <w:name w:val="ECHR_PCF_Table_Style11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2">
    <w:name w:val="ECHR_UG_Table11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2">
    <w:name w:val="ECHR_UG_Table_White_Box11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12">
    <w:name w:val="ECHR_A1_Style_List112"/>
    <w:basedOn w:val="NoList"/>
    <w:uiPriority w:val="99"/>
    <w:rsid w:val="00DC2D95"/>
  </w:style>
  <w:style w:type="table" w:customStyle="1" w:styleId="ECHRTable2016112">
    <w:name w:val="ECHR_Table_2016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2">
    <w:name w:val="ECHR_Table_21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2">
    <w:name w:val="ECHR_Table_2019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2">
    <w:name w:val="Medium Shading 211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3">
    <w:name w:val="Colorful Grid3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3">
    <w:name w:val="Colorful Grid - Accent 13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3">
    <w:name w:val="Colorful Grid - Accent 33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3">
    <w:name w:val="Colorful Grid - Accent 43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3">
    <w:name w:val="Colorful Grid - Accent 53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3">
    <w:name w:val="Colorful Grid - Accent 63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3">
    <w:name w:val="Colorful List3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3">
    <w:name w:val="Colorful List - Accent 13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3">
    <w:name w:val="Colorful List - Accent 23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3">
    <w:name w:val="Colorful List - Accent 33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3">
    <w:name w:val="Colorful List - Accent 43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3">
    <w:name w:val="Colorful List - Accent 53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3">
    <w:name w:val="Colorful List - Accent 63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3">
    <w:name w:val="Colorful Shading3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3">
    <w:name w:val="Colorful Shading - Accent 13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3">
    <w:name w:val="Colorful Shading - Accent 23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3">
    <w:name w:val="Colorful Shading - Accent 33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3">
    <w:name w:val="Colorful Shading - Accent 43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3">
    <w:name w:val="Colorful Shading - Accent 53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3">
    <w:name w:val="Colorful Shading - Accent 63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3">
    <w:name w:val="Dark List3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3">
    <w:name w:val="Dark List - Accent 13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3">
    <w:name w:val="Dark List - Accent 23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3">
    <w:name w:val="Dark List - Accent 33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3">
    <w:name w:val="Dark List - Accent 43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3">
    <w:name w:val="Dark List - Accent 53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3">
    <w:name w:val="Dark List - Accent 63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3">
    <w:name w:val="Light Grid3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3">
    <w:name w:val="Light Grid - Accent 13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3">
    <w:name w:val="Light Grid - Accent 23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3">
    <w:name w:val="Light Grid - Accent 33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3">
    <w:name w:val="Light Grid - Accent 43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3">
    <w:name w:val="Light Grid - Accent 53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3">
    <w:name w:val="Light Grid - Accent 63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3">
    <w:name w:val="Light List3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3">
    <w:name w:val="Light List - Accent 13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3">
    <w:name w:val="Light List - Accent 23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3">
    <w:name w:val="Light List - Accent 33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3">
    <w:name w:val="Light List - Accent 43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3">
    <w:name w:val="Light List - Accent 53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3">
    <w:name w:val="Light List - Accent 63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3">
    <w:name w:val="Light Shading3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3">
    <w:name w:val="Light Shading - Accent 13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3">
    <w:name w:val="Light Shading - Accent 23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3">
    <w:name w:val="Light Shading - Accent 33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3">
    <w:name w:val="Light Shading - Accent 43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3">
    <w:name w:val="Light Shading - Accent 53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3">
    <w:name w:val="Light Shading - Accent 63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3">
    <w:name w:val="Medium Grid 13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3">
    <w:name w:val="Medium Grid 1 - Accent 13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3">
    <w:name w:val="Medium Grid 1 - Accent 23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3">
    <w:name w:val="Medium Grid 1 - Accent 33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3">
    <w:name w:val="Medium Grid 1 - Accent 43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3">
    <w:name w:val="Medium Grid 1 - Accent 53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3">
    <w:name w:val="Medium Grid 1 - Accent 63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3">
    <w:name w:val="Medium Grid 23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3">
    <w:name w:val="Medium Grid 2 - Accent 13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3">
    <w:name w:val="Medium Grid 2 - Accent 23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3">
    <w:name w:val="Medium Grid 2 - Accent 33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3">
    <w:name w:val="Medium Grid 2 - Accent 43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3">
    <w:name w:val="Medium Grid 2 - Accent 53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3">
    <w:name w:val="Medium Grid 2 - Accent 63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3">
    <w:name w:val="Medium Grid 33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3">
    <w:name w:val="Medium Grid 3 - Accent 13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3">
    <w:name w:val="Medium Grid 3 - Accent 23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3">
    <w:name w:val="Medium Grid 3 - Accent 33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3">
    <w:name w:val="Medium Grid 3 - Accent 43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3">
    <w:name w:val="Medium Grid 3 - Accent 53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3">
    <w:name w:val="Medium Grid 3 - Accent 63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3">
    <w:name w:val="Medium List 13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3">
    <w:name w:val="Medium List 1 - Accent 13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3">
    <w:name w:val="Medium List 1 - Accent 23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3">
    <w:name w:val="Medium List 1 - Accent 33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3">
    <w:name w:val="Medium List 1 - Accent 43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3">
    <w:name w:val="Medium List 1 - Accent 63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3">
    <w:name w:val="Medium List 23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3">
    <w:name w:val="Medium List 2 - Accent 13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3">
    <w:name w:val="Medium List 2 - Accent 23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3">
    <w:name w:val="Medium List 2 - Accent 33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3">
    <w:name w:val="Medium List 2 - Accent 43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3">
    <w:name w:val="Medium List 2 - Accent 63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3">
    <w:name w:val="Medium Shading 13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3">
    <w:name w:val="Medium Shading 1 - Accent 13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3">
    <w:name w:val="Medium Shading 1 - Accent 23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3">
    <w:name w:val="Medium Shading 1 - Accent 33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3">
    <w:name w:val="Medium Shading 1 - Accent 43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3">
    <w:name w:val="Medium Shading 1 - Accent 63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3">
    <w:name w:val="Medium Shading 2 - Accent 13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3">
    <w:name w:val="Medium Shading 2 - Accent 43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3">
    <w:name w:val="Medium Shading 2 - Accent 53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3">
    <w:name w:val="Medium Shading 2 - Accent 63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ntstyle01">
    <w:name w:val="fontstyle01"/>
    <w:basedOn w:val="DefaultParagraphFont"/>
    <w:rsid w:val="00D327E1"/>
    <w:rPr>
      <w:rFonts w:ascii="FuturaStd-Book" w:hAnsi="FuturaStd-Book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0E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/>
  </w:docDefaults>
  <w:latentStyles w:defLockedState="0" w:defUIPriority="98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5" w:qFormat="1"/>
    <w:lsdException w:name="heading 7" w:qFormat="1"/>
    <w:lsdException w:name="heading 8" w:qFormat="1"/>
    <w:lsdException w:name="heading 9" w:qFormat="1"/>
    <w:lsdException w:name="header" w:uiPriority="57"/>
    <w:lsdException w:name="caption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semiHidden/>
    <w:rsid w:val="006D2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rsid w:val="006D24E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6D24E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6D24E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6D24E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6D24E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6D24E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6D24ED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6D24ED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6D24E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6D24ED"/>
    <w:pPr>
      <w:tabs>
        <w:tab w:val="center" w:pos="851"/>
        <w:tab w:val="center" w:pos="6407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6D24ED"/>
    <w:pPr>
      <w:ind w:firstLine="284"/>
    </w:pPr>
  </w:style>
  <w:style w:type="character" w:styleId="PageNumber">
    <w:name w:val="page number"/>
    <w:uiPriority w:val="98"/>
    <w:semiHidden/>
    <w:rsid w:val="006D24ED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6D2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6D2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6D24ED"/>
    <w:rPr>
      <w:sz w:val="20"/>
      <w:szCs w:val="20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6D24ED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6D24ED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6D24ED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6D24ED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57"/>
    <w:rsid w:val="006D2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57"/>
    <w:rsid w:val="006D24ED"/>
    <w:rPr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customStyle="1" w:styleId="DummyStyle">
    <w:name w:val="Dummy_Style"/>
    <w:aliases w:val="_Dummy"/>
    <w:basedOn w:val="Normal"/>
    <w:semiHidden/>
    <w:qFormat/>
    <w:rsid w:val="006D24ED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6D24ED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6D24ED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6D24ED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6D24ED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6D24ED"/>
    <w:pPr>
      <w:numPr>
        <w:numId w:val="4"/>
      </w:numPr>
    </w:pPr>
  </w:style>
  <w:style w:type="numbering" w:customStyle="1" w:styleId="ECHRA1StyleList">
    <w:name w:val="ECHR_A1_Style_List"/>
    <w:basedOn w:val="NoList"/>
    <w:uiPriority w:val="99"/>
    <w:rsid w:val="006D24ED"/>
    <w:pPr>
      <w:numPr>
        <w:numId w:val="5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6D24ED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6D24ED"/>
    <w:pPr>
      <w:numPr>
        <w:numId w:val="6"/>
      </w:numPr>
    </w:pPr>
  </w:style>
  <w:style w:type="table" w:customStyle="1" w:styleId="ECHRHeaderTable">
    <w:name w:val="ECHR_Header_Table"/>
    <w:basedOn w:val="TableNormal"/>
    <w:uiPriority w:val="99"/>
    <w:rsid w:val="006D24ED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6D24ED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6D24ED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6D24ED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6D24ED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6D24ED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6D24ED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6D24ED"/>
    <w:pPr>
      <w:keepNext/>
      <w:keepLines/>
      <w:numPr>
        <w:ilvl w:val="1"/>
        <w:numId w:val="9"/>
      </w:numPr>
      <w:tabs>
        <w:tab w:val="left" w:pos="454"/>
        <w:tab w:val="left" w:pos="567"/>
        <w:tab w:val="left" w:pos="680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rsid w:val="006D24ED"/>
    <w:rPr>
      <w:rFonts w:asciiTheme="majorHAnsi" w:eastAsiaTheme="majorEastAsia" w:hAnsiTheme="majorHAnsi" w:cstheme="majorBidi"/>
      <w:b/>
      <w:bCs/>
      <w:color w:val="333333"/>
      <w:sz w:val="28"/>
      <w:szCs w:val="28"/>
      <w:lang w:val="sq-AL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6D24ED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6D24ED"/>
    <w:rPr>
      <w:rFonts w:asciiTheme="majorHAnsi" w:eastAsiaTheme="majorEastAsia" w:hAnsiTheme="majorHAnsi" w:cstheme="majorBidi"/>
      <w:b/>
      <w:bCs/>
      <w:color w:val="4D4D4D"/>
      <w:sz w:val="26"/>
      <w:szCs w:val="26"/>
      <w:lang w:val="sq-AL"/>
    </w:rPr>
  </w:style>
  <w:style w:type="paragraph" w:customStyle="1" w:styleId="JuH1">
    <w:name w:val="Ju_H_1."/>
    <w:aliases w:val="_Head_4"/>
    <w:basedOn w:val="Heading4"/>
    <w:next w:val="JuPara"/>
    <w:uiPriority w:val="17"/>
    <w:rsid w:val="006D24ED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6D24ED"/>
    <w:rPr>
      <w:rFonts w:asciiTheme="majorHAnsi" w:eastAsiaTheme="majorEastAsia" w:hAnsiTheme="majorHAnsi" w:cstheme="majorBidi"/>
      <w:b/>
      <w:bCs/>
      <w:color w:val="5F5F5F"/>
      <w:lang w:val="sq-AL"/>
    </w:rPr>
  </w:style>
  <w:style w:type="paragraph" w:customStyle="1" w:styleId="JuHa0">
    <w:name w:val="Ju_H_a"/>
    <w:aliases w:val="_Head_5"/>
    <w:basedOn w:val="Heading5"/>
    <w:next w:val="JuPara"/>
    <w:uiPriority w:val="17"/>
    <w:rsid w:val="006D24ED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77777"/>
      <w:lang w:val="sq-AL"/>
    </w:rPr>
  </w:style>
  <w:style w:type="paragraph" w:customStyle="1" w:styleId="JuHi">
    <w:name w:val="Ju_H_i"/>
    <w:aliases w:val="_Head_6"/>
    <w:basedOn w:val="Heading6"/>
    <w:next w:val="JuPara"/>
    <w:uiPriority w:val="17"/>
    <w:rsid w:val="006D24ED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6D24ED"/>
    <w:rPr>
      <w:rFonts w:asciiTheme="majorHAnsi" w:eastAsiaTheme="majorEastAsia" w:hAnsiTheme="majorHAnsi" w:cstheme="majorBidi"/>
      <w:b/>
      <w:bCs/>
      <w:color w:val="808080"/>
      <w:lang w:val="sq-AL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6D24ED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q-AL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6D24ED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6D24ED"/>
    <w:rPr>
      <w:rFonts w:asciiTheme="majorHAnsi" w:eastAsiaTheme="majorEastAsia" w:hAnsiTheme="majorHAnsi" w:cstheme="majorBidi"/>
      <w:i/>
      <w:iCs/>
      <w:lang w:val="sq-AL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6D24ED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6D24ED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uiPriority w:val="32"/>
    <w:qFormat/>
    <w:rsid w:val="006D24ED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6D24ED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6D24ED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6D24ED"/>
    <w:pPr>
      <w:numPr>
        <w:ilvl w:val="2"/>
        <w:numId w:val="10"/>
      </w:numPr>
    </w:pPr>
  </w:style>
  <w:style w:type="table" w:customStyle="1" w:styleId="ECHRTableFax">
    <w:name w:val="ECHR_Table_Fax"/>
    <w:basedOn w:val="TableNormal"/>
    <w:uiPriority w:val="99"/>
    <w:rsid w:val="006D24ED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6D24ED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6D24ED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6D24ED"/>
    <w:rPr>
      <w:rFonts w:asciiTheme="majorHAnsi" w:eastAsiaTheme="majorEastAsia" w:hAnsiTheme="majorHAnsi" w:cstheme="majorBidi"/>
      <w:sz w:val="20"/>
      <w:szCs w:val="20"/>
      <w:lang w:val="sq-AL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6D24ED"/>
    <w:rPr>
      <w:rFonts w:asciiTheme="majorHAnsi" w:eastAsiaTheme="majorEastAsia" w:hAnsiTheme="majorHAnsi" w:cstheme="majorBidi"/>
      <w:i/>
      <w:iCs/>
      <w:spacing w:val="5"/>
      <w:sz w:val="20"/>
      <w:szCs w:val="20"/>
      <w:lang w:val="sq-AL" w:bidi="en-US"/>
    </w:rPr>
  </w:style>
  <w:style w:type="paragraph" w:styleId="Title">
    <w:name w:val="Title"/>
    <w:basedOn w:val="Normal"/>
    <w:next w:val="Normal"/>
    <w:link w:val="TitleChar"/>
    <w:uiPriority w:val="98"/>
    <w:qFormat/>
    <w:rsid w:val="006D24E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rsid w:val="006D24ED"/>
    <w:rPr>
      <w:rFonts w:asciiTheme="majorHAnsi" w:eastAsiaTheme="majorEastAsia" w:hAnsiTheme="majorHAnsi" w:cstheme="majorBidi"/>
      <w:spacing w:val="5"/>
      <w:sz w:val="52"/>
      <w:szCs w:val="52"/>
      <w:lang w:val="sq-AL" w:bidi="en-US"/>
    </w:rPr>
  </w:style>
  <w:style w:type="paragraph" w:styleId="Subtitle">
    <w:name w:val="Subtitle"/>
    <w:basedOn w:val="Normal"/>
    <w:next w:val="Normal"/>
    <w:link w:val="SubtitleChar"/>
    <w:uiPriority w:val="98"/>
    <w:qFormat/>
    <w:rsid w:val="006D24ED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rsid w:val="006D24ED"/>
    <w:rPr>
      <w:rFonts w:asciiTheme="majorHAnsi" w:eastAsiaTheme="majorEastAsia" w:hAnsiTheme="majorHAnsi" w:cstheme="majorBidi"/>
      <w:i/>
      <w:iCs/>
      <w:spacing w:val="13"/>
      <w:sz w:val="24"/>
      <w:szCs w:val="24"/>
      <w:lang w:val="sq-AL" w:bidi="en-US"/>
    </w:rPr>
  </w:style>
  <w:style w:type="character" w:styleId="Strong">
    <w:name w:val="Strong"/>
    <w:uiPriority w:val="98"/>
    <w:qFormat/>
    <w:rsid w:val="006D24ED"/>
    <w:rPr>
      <w:b/>
      <w:bCs/>
    </w:rPr>
  </w:style>
  <w:style w:type="character" w:styleId="Emphasis">
    <w:name w:val="Emphasis"/>
    <w:uiPriority w:val="98"/>
    <w:qFormat/>
    <w:rsid w:val="006D24E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qFormat/>
    <w:rsid w:val="006D24ED"/>
  </w:style>
  <w:style w:type="character" w:customStyle="1" w:styleId="NoSpacingChar">
    <w:name w:val="No Spacing Char"/>
    <w:basedOn w:val="DefaultParagraphFont"/>
    <w:link w:val="NoSpacing"/>
    <w:uiPriority w:val="98"/>
    <w:rsid w:val="006D24ED"/>
    <w:rPr>
      <w:sz w:val="24"/>
      <w:szCs w:val="24"/>
      <w:lang w:val="sq-AL"/>
    </w:rPr>
  </w:style>
  <w:style w:type="paragraph" w:styleId="ListParagraph">
    <w:name w:val="List Paragraph"/>
    <w:basedOn w:val="Normal"/>
    <w:uiPriority w:val="98"/>
    <w:qFormat/>
    <w:rsid w:val="006D24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qFormat/>
    <w:rsid w:val="006D24ED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rsid w:val="006D24ED"/>
    <w:rPr>
      <w:i/>
      <w:iCs/>
      <w:sz w:val="24"/>
      <w:szCs w:val="24"/>
      <w:lang w:val="sq-AL" w:bidi="en-US"/>
    </w:rPr>
  </w:style>
  <w:style w:type="paragraph" w:styleId="IntenseQuote">
    <w:name w:val="Intense Quote"/>
    <w:basedOn w:val="Normal"/>
    <w:next w:val="Normal"/>
    <w:link w:val="IntenseQuoteChar"/>
    <w:uiPriority w:val="98"/>
    <w:qFormat/>
    <w:rsid w:val="006D24E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6D24ED"/>
    <w:rPr>
      <w:b/>
      <w:bCs/>
      <w:i/>
      <w:iCs/>
      <w:sz w:val="24"/>
      <w:szCs w:val="24"/>
      <w:lang w:val="sq-AL" w:bidi="en-US"/>
    </w:rPr>
  </w:style>
  <w:style w:type="character" w:styleId="SubtleEmphasis">
    <w:name w:val="Subtle Emphasis"/>
    <w:uiPriority w:val="98"/>
    <w:qFormat/>
    <w:rsid w:val="006D24ED"/>
    <w:rPr>
      <w:i/>
      <w:iCs/>
    </w:rPr>
  </w:style>
  <w:style w:type="character" w:styleId="IntenseEmphasis">
    <w:name w:val="Intense Emphasis"/>
    <w:uiPriority w:val="98"/>
    <w:qFormat/>
    <w:rsid w:val="006D24ED"/>
    <w:rPr>
      <w:b/>
      <w:bCs/>
    </w:rPr>
  </w:style>
  <w:style w:type="character" w:styleId="SubtleReference">
    <w:name w:val="Subtle Reference"/>
    <w:uiPriority w:val="98"/>
    <w:qFormat/>
    <w:rsid w:val="006D24ED"/>
    <w:rPr>
      <w:smallCaps/>
    </w:rPr>
  </w:style>
  <w:style w:type="character" w:styleId="IntenseReference">
    <w:name w:val="Intense Reference"/>
    <w:uiPriority w:val="98"/>
    <w:qFormat/>
    <w:rsid w:val="006D24ED"/>
    <w:rPr>
      <w:smallCaps/>
      <w:spacing w:val="5"/>
      <w:u w:val="single"/>
    </w:rPr>
  </w:style>
  <w:style w:type="character" w:styleId="BookTitle">
    <w:name w:val="Book Title"/>
    <w:uiPriority w:val="98"/>
    <w:qFormat/>
    <w:rsid w:val="006D24ED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6D24ED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6D24ED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6D24ED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6D24ED"/>
  </w:style>
  <w:style w:type="paragraph" w:styleId="BlockText">
    <w:name w:val="Block Text"/>
    <w:basedOn w:val="Normal"/>
    <w:uiPriority w:val="98"/>
    <w:semiHidden/>
    <w:rsid w:val="006D24ED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6D24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6D24ED"/>
    <w:rPr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8"/>
    <w:semiHidden/>
    <w:rsid w:val="006D24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6D24ED"/>
    <w:rPr>
      <w:sz w:val="24"/>
      <w:szCs w:val="24"/>
      <w:lang w:val="sq-AL"/>
    </w:rPr>
  </w:style>
  <w:style w:type="paragraph" w:styleId="BodyText3">
    <w:name w:val="Body Text 3"/>
    <w:basedOn w:val="Normal"/>
    <w:link w:val="BodyText3Char"/>
    <w:uiPriority w:val="98"/>
    <w:semiHidden/>
    <w:rsid w:val="006D24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6D24ED"/>
    <w:rPr>
      <w:sz w:val="16"/>
      <w:szCs w:val="16"/>
      <w:lang w:val="sq-AL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6D24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6D24ED"/>
    <w:rPr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iPriority w:val="98"/>
    <w:semiHidden/>
    <w:rsid w:val="006D24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6D24ED"/>
    <w:rPr>
      <w:sz w:val="24"/>
      <w:szCs w:val="24"/>
      <w:lang w:val="sq-AL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6D24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6D24ED"/>
    <w:rPr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8"/>
    <w:semiHidden/>
    <w:rsid w:val="006D24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6D24ED"/>
    <w:rPr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uiPriority w:val="98"/>
    <w:semiHidden/>
    <w:rsid w:val="006D24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6D24ED"/>
    <w:rPr>
      <w:sz w:val="16"/>
      <w:szCs w:val="16"/>
      <w:lang w:val="sq-AL"/>
    </w:rPr>
  </w:style>
  <w:style w:type="paragraph" w:styleId="Caption">
    <w:name w:val="caption"/>
    <w:basedOn w:val="Normal"/>
    <w:next w:val="Normal"/>
    <w:uiPriority w:val="98"/>
    <w:semiHidden/>
    <w:qFormat/>
    <w:rsid w:val="006D24ED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6D24E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6D24ED"/>
    <w:rPr>
      <w:sz w:val="24"/>
      <w:szCs w:val="24"/>
      <w:lang w:val="sq-AL"/>
    </w:rPr>
  </w:style>
  <w:style w:type="table" w:styleId="ColorfulGrid">
    <w:name w:val="Colorful Grid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6D2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6D24ED"/>
    <w:rPr>
      <w:b/>
      <w:bCs/>
      <w:sz w:val="20"/>
      <w:szCs w:val="20"/>
      <w:lang w:val="sq-AL"/>
    </w:rPr>
  </w:style>
  <w:style w:type="table" w:styleId="DarkList">
    <w:name w:val="Dark List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6D24ED"/>
  </w:style>
  <w:style w:type="character" w:customStyle="1" w:styleId="DateChar">
    <w:name w:val="Date Char"/>
    <w:basedOn w:val="DefaultParagraphFont"/>
    <w:link w:val="Date"/>
    <w:uiPriority w:val="98"/>
    <w:semiHidden/>
    <w:rsid w:val="006D24ED"/>
    <w:rPr>
      <w:sz w:val="24"/>
      <w:szCs w:val="24"/>
      <w:lang w:val="sq-AL"/>
    </w:rPr>
  </w:style>
  <w:style w:type="paragraph" w:styleId="DocumentMap">
    <w:name w:val="Document Map"/>
    <w:basedOn w:val="Normal"/>
    <w:link w:val="DocumentMap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styleId="E-mailSignature">
    <w:name w:val="E-mail Signature"/>
    <w:basedOn w:val="Normal"/>
    <w:link w:val="E-mailSignatureChar"/>
    <w:uiPriority w:val="98"/>
    <w:semiHidden/>
    <w:rsid w:val="006D24ED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6D24ED"/>
    <w:rPr>
      <w:sz w:val="24"/>
      <w:szCs w:val="24"/>
      <w:lang w:val="sq-AL"/>
    </w:rPr>
  </w:style>
  <w:style w:type="character" w:styleId="EndnoteReference">
    <w:name w:val="endnote reference"/>
    <w:basedOn w:val="DefaultParagraphFont"/>
    <w:uiPriority w:val="98"/>
    <w:semiHidden/>
    <w:rsid w:val="006D24ED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6D24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6D24ED"/>
    <w:rPr>
      <w:sz w:val="20"/>
      <w:szCs w:val="20"/>
      <w:lang w:val="sq-AL"/>
    </w:rPr>
  </w:style>
  <w:style w:type="paragraph" w:styleId="EnvelopeAddress">
    <w:name w:val="envelope address"/>
    <w:basedOn w:val="Normal"/>
    <w:uiPriority w:val="98"/>
    <w:semiHidden/>
    <w:rsid w:val="006D24ED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6D24E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6D24ED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6D24ED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6D24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6D24ED"/>
    <w:rPr>
      <w:sz w:val="20"/>
      <w:szCs w:val="20"/>
      <w:lang w:val="sq-AL"/>
    </w:rPr>
  </w:style>
  <w:style w:type="character" w:styleId="HTMLAcronym">
    <w:name w:val="HTML Acronym"/>
    <w:basedOn w:val="DefaultParagraphFont"/>
    <w:uiPriority w:val="98"/>
    <w:semiHidden/>
    <w:rsid w:val="006D24ED"/>
  </w:style>
  <w:style w:type="paragraph" w:styleId="HTMLAddress">
    <w:name w:val="HTML Address"/>
    <w:basedOn w:val="Normal"/>
    <w:link w:val="HTMLAddressChar"/>
    <w:uiPriority w:val="98"/>
    <w:semiHidden/>
    <w:rsid w:val="006D24E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6D24ED"/>
    <w:rPr>
      <w:i/>
      <w:iCs/>
      <w:sz w:val="24"/>
      <w:szCs w:val="24"/>
      <w:lang w:val="sq-AL"/>
    </w:rPr>
  </w:style>
  <w:style w:type="character" w:styleId="HTMLCite">
    <w:name w:val="HTML Cite"/>
    <w:basedOn w:val="DefaultParagraphFont"/>
    <w:uiPriority w:val="98"/>
    <w:semiHidden/>
    <w:rsid w:val="006D24ED"/>
    <w:rPr>
      <w:i/>
      <w:iCs/>
    </w:rPr>
  </w:style>
  <w:style w:type="character" w:styleId="HTMLCode">
    <w:name w:val="HTML Code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6D24ED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6D24ED"/>
    <w:rPr>
      <w:rFonts w:ascii="Consolas" w:hAnsi="Consolas" w:cs="Consolas"/>
      <w:sz w:val="20"/>
      <w:szCs w:val="20"/>
      <w:lang w:val="sq-AL"/>
    </w:rPr>
  </w:style>
  <w:style w:type="character" w:styleId="HTMLSample">
    <w:name w:val="HTML Sample"/>
    <w:basedOn w:val="DefaultParagraphFont"/>
    <w:uiPriority w:val="98"/>
    <w:semiHidden/>
    <w:rsid w:val="006D24E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6D24ED"/>
    <w:rPr>
      <w:i/>
      <w:iCs/>
    </w:rPr>
  </w:style>
  <w:style w:type="character" w:styleId="Hyperlink">
    <w:name w:val="Hyperlink"/>
    <w:basedOn w:val="DefaultParagraphFont"/>
    <w:uiPriority w:val="98"/>
    <w:rsid w:val="006D24ED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6D24ED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6D24ED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6D24ED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6D24ED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6D24ED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6D24ED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6D24ED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6D24ED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6D24ED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6D24E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6D24ED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6D24ED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6D24ED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6D24ED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6D24ED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6D24ED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6D24ED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6D24ED"/>
  </w:style>
  <w:style w:type="paragraph" w:styleId="List">
    <w:name w:val="List"/>
    <w:basedOn w:val="Normal"/>
    <w:uiPriority w:val="98"/>
    <w:semiHidden/>
    <w:rsid w:val="006D24ED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6D24ED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6D24ED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6D24ED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6D24ED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6D24ED"/>
    <w:pPr>
      <w:numPr>
        <w:numId w:val="11"/>
      </w:numPr>
    </w:pPr>
  </w:style>
  <w:style w:type="paragraph" w:styleId="ListBullet2">
    <w:name w:val="List Bullet 2"/>
    <w:basedOn w:val="Normal"/>
    <w:uiPriority w:val="98"/>
    <w:semiHidden/>
    <w:rsid w:val="006D24ED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8"/>
    <w:semiHidden/>
    <w:rsid w:val="006D24ED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8"/>
    <w:semiHidden/>
    <w:rsid w:val="006D24ED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6D24ED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6D24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6D24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6D24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6D24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6D24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6D24ED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6D24ED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6D24ED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6D24ED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6D24ED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6D2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6D24ED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6D2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6D24ED"/>
    <w:rPr>
      <w:rFonts w:asciiTheme="majorHAnsi" w:eastAsiaTheme="majorEastAsia" w:hAnsiTheme="majorHAnsi" w:cstheme="majorBidi"/>
      <w:sz w:val="24"/>
      <w:szCs w:val="24"/>
      <w:shd w:val="pct20" w:color="auto" w:fill="auto"/>
      <w:lang w:val="sq-AL"/>
    </w:rPr>
  </w:style>
  <w:style w:type="paragraph" w:styleId="NormalWeb">
    <w:name w:val="Normal (Web)"/>
    <w:basedOn w:val="Normal"/>
    <w:uiPriority w:val="98"/>
    <w:semiHidden/>
    <w:rsid w:val="006D24E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6D24ED"/>
    <w:pPr>
      <w:ind w:left="720"/>
    </w:pPr>
  </w:style>
  <w:style w:type="table" w:customStyle="1" w:styleId="ECHRTableNoLines">
    <w:name w:val="ECHR_Table_No_Lines"/>
    <w:basedOn w:val="TableNormal"/>
    <w:uiPriority w:val="99"/>
    <w:rsid w:val="006D24ED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6D24ED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6D24ED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6D24E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6D24ED"/>
    <w:rPr>
      <w:rFonts w:ascii="Consolas" w:hAnsi="Consolas" w:cs="Consolas"/>
      <w:sz w:val="21"/>
      <w:szCs w:val="21"/>
      <w:lang w:val="sq-AL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6D24ED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6D24ED"/>
    <w:rPr>
      <w:sz w:val="24"/>
      <w:szCs w:val="24"/>
      <w:lang w:val="sq-AL"/>
    </w:rPr>
  </w:style>
  <w:style w:type="paragraph" w:styleId="Signature">
    <w:name w:val="Signature"/>
    <w:basedOn w:val="Normal"/>
    <w:link w:val="SignatureChar"/>
    <w:uiPriority w:val="98"/>
    <w:semiHidden/>
    <w:rsid w:val="006D24E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6D24ED"/>
    <w:rPr>
      <w:sz w:val="24"/>
      <w:szCs w:val="24"/>
      <w:lang w:val="sq-AL"/>
    </w:rPr>
  </w:style>
  <w:style w:type="table" w:styleId="Table3Deffects1">
    <w:name w:val="Table 3D effects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D24ED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D24ED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D24ED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6D24ED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6D24ED"/>
  </w:style>
  <w:style w:type="table" w:styleId="TableProfessional">
    <w:name w:val="Table Professional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6D24ED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6D24E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6D24ED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6D24ED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rsid w:val="006D24ED"/>
    <w:rPr>
      <w:sz w:val="24"/>
      <w:szCs w:val="24"/>
      <w:lang w:val="sq-AL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rsid w:val="006D24ED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6D24ED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"/>
    <w:next w:val="JuPara"/>
    <w:uiPriority w:val="32"/>
    <w:rsid w:val="006D24ED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6D24ED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6D24ED"/>
    <w:rPr>
      <w:sz w:val="24"/>
      <w:szCs w:val="24"/>
      <w:lang w:val="sq-AL"/>
    </w:rPr>
  </w:style>
  <w:style w:type="paragraph" w:customStyle="1" w:styleId="ECHRHeaderLandscape">
    <w:name w:val="ECHR_Header_Landscape"/>
    <w:aliases w:val="_Header_Landscape"/>
    <w:basedOn w:val="JuHeader"/>
    <w:uiPriority w:val="29"/>
    <w:rsid w:val="006D24ED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qFormat/>
    <w:rsid w:val="006D24ED"/>
    <w:pPr>
      <w:numPr>
        <w:numId w:val="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rsid w:val="006D24ED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rsid w:val="006D24ED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rsid w:val="006D24ED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qFormat/>
    <w:rsid w:val="006D24ED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6D24ED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qFormat/>
    <w:rsid w:val="006D24ED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rsid w:val="006D24ED"/>
    <w:rPr>
      <w:rFonts w:ascii="Arial" w:hAnsi="Arial"/>
      <w:i/>
      <w:color w:val="002856"/>
      <w:sz w:val="32"/>
      <w:szCs w:val="24"/>
      <w:lang w:val="sq-AL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rsid w:val="006D24ED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qFormat/>
    <w:rsid w:val="006D24ED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qFormat/>
    <w:rsid w:val="006D24ED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rsid w:val="006D24ED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rsid w:val="006D24ED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"/>
    <w:uiPriority w:val="23"/>
    <w:qFormat/>
    <w:rsid w:val="006D24ED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rsid w:val="006D24ED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rsid w:val="006D24ED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"/>
    <w:uiPriority w:val="8"/>
    <w:qFormat/>
    <w:rsid w:val="006D24ED"/>
    <w:pPr>
      <w:ind w:left="567" w:hanging="567"/>
      <w:jc w:val="both"/>
    </w:pPr>
  </w:style>
  <w:style w:type="paragraph" w:customStyle="1" w:styleId="ECHRParaIndent">
    <w:name w:val="ECHR_Para_Indent"/>
    <w:aliases w:val="_Indent"/>
    <w:basedOn w:val="Normal"/>
    <w:uiPriority w:val="7"/>
    <w:qFormat/>
    <w:rsid w:val="006D24ED"/>
    <w:pPr>
      <w:spacing w:before="120" w:after="120"/>
      <w:ind w:left="284"/>
      <w:jc w:val="both"/>
    </w:pPr>
  </w:style>
  <w:style w:type="character" w:customStyle="1" w:styleId="ECHRRed">
    <w:name w:val="ECHR_Red"/>
    <w:aliases w:val="_Red"/>
    <w:basedOn w:val="DefaultParagraphFont"/>
    <w:uiPriority w:val="15"/>
    <w:qFormat/>
    <w:rsid w:val="006D24ED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6D24ED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6D24ED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6D24ED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qFormat/>
    <w:rsid w:val="006D24ED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qFormat/>
    <w:rsid w:val="006D24ED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6D24ED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6D24ED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6D24ED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6D24ED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6D24ED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rsid w:val="006D24ED"/>
    <w:rPr>
      <w:sz w:val="4"/>
    </w:rPr>
  </w:style>
  <w:style w:type="table" w:customStyle="1" w:styleId="ECHRTableGrey">
    <w:name w:val="ECHR_Table_Grey"/>
    <w:basedOn w:val="TableNormal"/>
    <w:uiPriority w:val="99"/>
    <w:rsid w:val="006D24ED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6D24ED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JuParaChar">
    <w:name w:val="Ju_Para Char"/>
    <w:aliases w:val="_Para Char"/>
    <w:link w:val="JuPara"/>
    <w:uiPriority w:val="4"/>
    <w:rsid w:val="00DC2D95"/>
    <w:rPr>
      <w:sz w:val="24"/>
      <w:szCs w:val="24"/>
      <w:lang w:val="sq-AL"/>
    </w:rPr>
  </w:style>
  <w:style w:type="table" w:customStyle="1" w:styleId="GridTable1Light1">
    <w:name w:val="Grid Table 1 Light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CHRListTable2">
    <w:name w:val="ECHR_List_Table2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GridTable1Light-Accent11">
    <w:name w:val="Grid Table 1 Light - Accent 1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CHRA1StyleBulletedSquare1">
    <w:name w:val="ECHR_A1_Style_Bulleted_Square1"/>
    <w:basedOn w:val="NoList"/>
    <w:rsid w:val="00DC2D95"/>
  </w:style>
  <w:style w:type="numbering" w:customStyle="1" w:styleId="ECHRA1StyleNumberedList1">
    <w:name w:val="ECHR_A1_Style_Numbered_List1"/>
    <w:basedOn w:val="NoList"/>
    <w:rsid w:val="00DC2D95"/>
  </w:style>
  <w:style w:type="table" w:customStyle="1" w:styleId="ECHRDNTable1">
    <w:name w:val="ECHR_DN_Table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">
    <w:name w:val="ECHR_Header_Table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">
    <w:name w:val="ECHR_Header_Table_Reduced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">
    <w:name w:val="ECHR_List_Table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">
    <w:name w:val="ECHR_Table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">
    <w:name w:val="ECHR_Table_Box_Header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1">
    <w:name w:val="ECHR_Table_Fax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">
    <w:name w:val="ECHR_Table_For_Internal_Use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">
    <w:name w:val="ECHR_Table_Memo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">
    <w:name w:val="ECHR_Table_No_Lines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">
    <w:name w:val="ECHR_Table_Odd_Banded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">
    <w:name w:val="ECHR_Table_Simple_Box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">
    <w:name w:val="ECHR_Ltr_Table_Address1"/>
    <w:basedOn w:val="TableNormal"/>
    <w:uiPriority w:val="99"/>
    <w:rsid w:val="00DC2D95"/>
    <w:tblPr>
      <w:tblInd w:w="5103" w:type="dxa"/>
    </w:tblPr>
  </w:style>
  <w:style w:type="table" w:customStyle="1" w:styleId="ECHRPCFTableStyle1">
    <w:name w:val="ECHR_PCF_Table_Style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0">
    <w:name w:val="Table Grid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">
    <w:name w:val="ECHR_UG_Table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">
    <w:name w:val="ECHR_UG_Table_White_Box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">
    <w:name w:val="ECHR_A1_Style_List1"/>
    <w:basedOn w:val="NoList"/>
    <w:uiPriority w:val="99"/>
    <w:rsid w:val="00DC2D95"/>
  </w:style>
  <w:style w:type="table" w:customStyle="1" w:styleId="ECHRTable20161">
    <w:name w:val="ECHR_Table_2016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">
    <w:name w:val="ECHR_Table_2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">
    <w:name w:val="ECHR_Table_2019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">
    <w:name w:val="Medium Shading 2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D95"/>
    <w:rPr>
      <w:color w:val="605E5C"/>
      <w:shd w:val="clear" w:color="auto" w:fill="E1DFDD"/>
    </w:rPr>
  </w:style>
  <w:style w:type="table" w:customStyle="1" w:styleId="GridTable1Light-Accent21">
    <w:name w:val="Grid Table 1 Light - Accent 2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ListTable1Light1">
    <w:name w:val="List Table 1 Light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DC2D95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C2D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C2D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C2D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C2D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DC2D95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DC2D95"/>
    <w:rPr>
      <w:color w:val="0000FF"/>
      <w:u w:val="single"/>
      <w:shd w:val="clear" w:color="auto" w:fill="F3F2F1"/>
    </w:rPr>
  </w:style>
  <w:style w:type="table" w:customStyle="1" w:styleId="TableGridLight1">
    <w:name w:val="Table Grid Light1"/>
    <w:basedOn w:val="TableNormal"/>
    <w:uiPriority w:val="40"/>
    <w:rsid w:val="00DC2D95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  <w:style w:type="numbering" w:customStyle="1" w:styleId="ECHRA1StyleBulletedSquare2">
    <w:name w:val="ECHR_A1_Style_Bulleted_Square2"/>
    <w:basedOn w:val="NoList"/>
    <w:rsid w:val="00DC2D95"/>
  </w:style>
  <w:style w:type="numbering" w:customStyle="1" w:styleId="ECHRA1StyleList2">
    <w:name w:val="ECHR_A1_Style_List2"/>
    <w:basedOn w:val="NoList"/>
    <w:uiPriority w:val="99"/>
    <w:rsid w:val="00DC2D95"/>
  </w:style>
  <w:style w:type="numbering" w:customStyle="1" w:styleId="ECHRA1StyleNumberedList2">
    <w:name w:val="ECHR_A1_Style_Numbered_List2"/>
    <w:basedOn w:val="NoList"/>
    <w:rsid w:val="00DC2D95"/>
  </w:style>
  <w:style w:type="character" w:customStyle="1" w:styleId="NoteHeadingChar1">
    <w:name w:val="Note Heading Char1"/>
    <w:basedOn w:val="DefaultParagraphFont"/>
    <w:uiPriority w:val="99"/>
    <w:semiHidden/>
    <w:rsid w:val="00DC2D95"/>
    <w:rPr>
      <w:sz w:val="24"/>
      <w:szCs w:val="24"/>
      <w:lang w:val="sq-AL"/>
    </w:rPr>
  </w:style>
  <w:style w:type="numbering" w:customStyle="1" w:styleId="ECHRA1StyleBulletedSquare21">
    <w:name w:val="ECHR_A1_Style_Bulleted_Square21"/>
    <w:basedOn w:val="NoList"/>
    <w:rsid w:val="00DC2D95"/>
  </w:style>
  <w:style w:type="numbering" w:customStyle="1" w:styleId="ECHRA1StyleNumberedList21">
    <w:name w:val="ECHR_A1_Style_Numbered_List21"/>
    <w:basedOn w:val="NoList"/>
    <w:rsid w:val="00DC2D95"/>
  </w:style>
  <w:style w:type="table" w:customStyle="1" w:styleId="ECHRDNTable2">
    <w:name w:val="ECHR_DN_Table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2">
    <w:name w:val="ECHR_Header_Table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2">
    <w:name w:val="ECHR_Header_Table_Reduced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3">
    <w:name w:val="ECHR_List_Table3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20">
    <w:name w:val="ECHR_Table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2">
    <w:name w:val="ECHR_Table_Box_Header2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2">
    <w:name w:val="ECHR_Table_Fax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2">
    <w:name w:val="ECHR_Table_For_Internal_Use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2">
    <w:name w:val="ECHR_Table_Memo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2">
    <w:name w:val="ECHR_Table_No_Lines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2">
    <w:name w:val="ECHR_Table_Odd_Banded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2">
    <w:name w:val="ECHR_Table_Simple_Box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2">
    <w:name w:val="ECHR_Ltr_Table_Address2"/>
    <w:basedOn w:val="TableNormal"/>
    <w:uiPriority w:val="99"/>
    <w:rsid w:val="00DC2D95"/>
    <w:tblPr>
      <w:tblInd w:w="5103" w:type="dxa"/>
    </w:tblPr>
  </w:style>
  <w:style w:type="table" w:customStyle="1" w:styleId="ECHRPCFTableStyle2">
    <w:name w:val="ECHR_PCF_Table_Style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20">
    <w:name w:val="Table Grid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2">
    <w:name w:val="ECHR_UG_Table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2">
    <w:name w:val="ECHR_UG_Table_White_Box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">
    <w:name w:val="ECHR_Table_Grey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21">
    <w:name w:val="ECHR_A1_Style_List21"/>
    <w:basedOn w:val="NoList"/>
    <w:uiPriority w:val="99"/>
    <w:rsid w:val="00DC2D95"/>
  </w:style>
  <w:style w:type="table" w:customStyle="1" w:styleId="ECHRTable20162">
    <w:name w:val="ECHR_Table_2016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2">
    <w:name w:val="ECHR_Table_2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2">
    <w:name w:val="ECHR_Table_2019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2">
    <w:name w:val="Medium Shading 2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1">
    <w:name w:val="ECHR_A1_Style_Bulleted_Square11"/>
    <w:basedOn w:val="NoList"/>
    <w:rsid w:val="00DC2D95"/>
  </w:style>
  <w:style w:type="numbering" w:customStyle="1" w:styleId="ECHRA1StyleList11">
    <w:name w:val="ECHR_A1_Style_List11"/>
    <w:basedOn w:val="NoList"/>
    <w:uiPriority w:val="99"/>
    <w:rsid w:val="00DC2D95"/>
  </w:style>
  <w:style w:type="numbering" w:customStyle="1" w:styleId="ECHRA1StyleNumberedList11">
    <w:name w:val="ECHR_A1_Style_Numbered_List11"/>
    <w:basedOn w:val="NoList"/>
    <w:rsid w:val="00DC2D95"/>
  </w:style>
  <w:style w:type="table" w:customStyle="1" w:styleId="ECHRTable201911">
    <w:name w:val="ECHR_Table_2019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1">
    <w:name w:val="ECHR_Table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1">
    <w:name w:val="ECHR_Table_Box_Header1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LtrTableAddress11">
    <w:name w:val="ECHR_Ltr_Table_Address11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1">
    <w:name w:val="Table Grid11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">
    <w:name w:val="ECHR_UG_Table11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">
    <w:name w:val="ECHR_UG_Table_White_Box11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1">
    <w:name w:val="ECHR_PCF_Table_Style11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1">
    <w:name w:val="ECHR_Table_Fax11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1">
    <w:name w:val="ECHR_Table_Memo11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1">
    <w:name w:val="ECHR_DN_Table11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1">
    <w:name w:val="ECHR_Table_Simple_Box11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1">
    <w:name w:val="ECHR_Table_No_Lines11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1">
    <w:name w:val="ECHR_Table_For_Internal_Use11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1">
    <w:name w:val="ECHR_List_Table11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1">
    <w:name w:val="ECHR_Header_Table11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1">
    <w:name w:val="ECHR_Table_Odd_Banded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1">
    <w:name w:val="ECHR_Header_Table_Reduced11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next w:val="DarkList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rsid w:val="00DC2D95"/>
    <w:rPr>
      <w:color w:val="00548C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rsid w:val="00DC2D95"/>
    <w:rPr>
      <w:color w:val="8F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rsid w:val="00DC2D95"/>
    <w:rPr>
      <w:color w:val="70707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rsid w:val="00DC2D95"/>
    <w:rPr>
      <w:color w:val="393939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1">
    <w:name w:val="Medium Shading 211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DC2D95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DC2D95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DC2D95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DC2D95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CHRTable211">
    <w:name w:val="ECHR_Table_2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1">
    <w:name w:val="ECHR_Table_2016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ListTable21">
    <w:name w:val="ECHR_List_Table21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numbering" w:customStyle="1" w:styleId="ECHRA1StyleBulletedSquare111">
    <w:name w:val="ECHR_A1_Style_Bulleted_Square111"/>
    <w:basedOn w:val="NoList"/>
    <w:rsid w:val="00DC2D95"/>
  </w:style>
  <w:style w:type="numbering" w:customStyle="1" w:styleId="ECHRA1StyleNumberedList111">
    <w:name w:val="ECHR_A1_Style_Numbered_List111"/>
    <w:basedOn w:val="NoList"/>
    <w:rsid w:val="00DC2D95"/>
  </w:style>
  <w:style w:type="table" w:customStyle="1" w:styleId="ECHRDNTable111">
    <w:name w:val="ECHR_DN_Table11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1">
    <w:name w:val="ECHR_Header_Table11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1">
    <w:name w:val="ECHR_Header_Table_Reduced11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1">
    <w:name w:val="ECHR_List_Table11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1">
    <w:name w:val="ECHR_Table1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1">
    <w:name w:val="ECHR_Table_Fax11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1">
    <w:name w:val="ECHR_Table_For_Internal_Use11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1">
    <w:name w:val="ECHR_Table_Memo11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1">
    <w:name w:val="ECHR_Table_No_Lines11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1">
    <w:name w:val="ECHR_Table_Odd_Banded1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1">
    <w:name w:val="ECHR_Table_Simple_Box11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1">
    <w:name w:val="ECHR_Ltr_Table_Address111"/>
    <w:basedOn w:val="TableNormal"/>
    <w:uiPriority w:val="99"/>
    <w:rsid w:val="00DC2D95"/>
    <w:tblPr>
      <w:tblInd w:w="5103" w:type="dxa"/>
    </w:tblPr>
  </w:style>
  <w:style w:type="table" w:customStyle="1" w:styleId="ECHRPCFTableStyle111">
    <w:name w:val="ECHR_PCF_Table_Style11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1">
    <w:name w:val="ECHR_UG_Table11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1">
    <w:name w:val="ECHR_UG_Table_White_Box11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1">
    <w:name w:val="ECHR_Table_Grey1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111">
    <w:name w:val="ECHR_A1_Style_List111"/>
    <w:basedOn w:val="NoList"/>
    <w:uiPriority w:val="99"/>
    <w:rsid w:val="00DC2D95"/>
  </w:style>
  <w:style w:type="table" w:customStyle="1" w:styleId="ECHRTable2016111">
    <w:name w:val="ECHR_Table_2016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1">
    <w:name w:val="ECHR_Table_21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1">
    <w:name w:val="ECHR_Table_2019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1">
    <w:name w:val="Medium Shading 211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2">
    <w:name w:val="Colorful Grid2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2">
    <w:name w:val="Colorful Grid - Accent 12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2">
    <w:name w:val="Colorful Grid - Accent 32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2">
    <w:name w:val="Colorful Grid - Accent 42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2">
    <w:name w:val="Colorful Grid - Accent 62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2">
    <w:name w:val="Colorful List2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2">
    <w:name w:val="Colorful List - Accent 12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2">
    <w:name w:val="Colorful List - Accent 22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2">
    <w:name w:val="Colorful List - Accent 32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2">
    <w:name w:val="Colorful List - Accent 42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2">
    <w:name w:val="Colorful List - Accent 52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2">
    <w:name w:val="Colorful List - Accent 62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2">
    <w:name w:val="Colorful Shading2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2">
    <w:name w:val="Colorful Shading - Accent 12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2">
    <w:name w:val="Colorful Shading - Accent 22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2">
    <w:name w:val="Colorful Shading - Accent 32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2">
    <w:name w:val="Colorful Shading - Accent 42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2">
    <w:name w:val="Colorful Shading - Accent 52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2">
    <w:name w:val="Colorful Shading - Accent 62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2">
    <w:name w:val="Dark List2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2">
    <w:name w:val="Dark List - Accent 12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2">
    <w:name w:val="Dark List - Accent 22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2">
    <w:name w:val="Dark List - Accent 32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2">
    <w:name w:val="Dark List - Accent 42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2">
    <w:name w:val="Dark List - Accent 52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2">
    <w:name w:val="Dark List - Accent 62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2">
    <w:name w:val="Light Grid2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2">
    <w:name w:val="Light Grid - Accent 22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2">
    <w:name w:val="Light Grid - Accent 42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2">
    <w:name w:val="Light Grid - Accent 52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2">
    <w:name w:val="Light Grid - Accent 62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2">
    <w:name w:val="Light List2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2">
    <w:name w:val="Light List - Accent 22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2">
    <w:name w:val="Light List - Accent 32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2">
    <w:name w:val="Light List - Accent 42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2">
    <w:name w:val="Light List - Accent 62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2">
    <w:name w:val="Light Shading2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2">
    <w:name w:val="Light Shading - Accent 32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2">
    <w:name w:val="Light Shading - Accent 42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2">
    <w:name w:val="Light Shading - Accent 52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2">
    <w:name w:val="Light Shading - Accent 62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2">
    <w:name w:val="Medium Grid 12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2">
    <w:name w:val="Medium Grid 1 - Accent 12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2">
    <w:name w:val="Medium Grid 1 - Accent 22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2">
    <w:name w:val="Medium Grid 1 - Accent 32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2">
    <w:name w:val="Medium Grid 1 - Accent 42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2">
    <w:name w:val="Medium Grid 1 - Accent 52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2">
    <w:name w:val="Medium Grid 1 - Accent 62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2">
    <w:name w:val="Medium Grid 22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2">
    <w:name w:val="Medium Grid 2 - Accent 12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2">
    <w:name w:val="Medium Grid 2 - Accent 22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2">
    <w:name w:val="Medium Grid 2 - Accent 32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2">
    <w:name w:val="Medium Grid 2 - Accent 42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2">
    <w:name w:val="Medium Grid 2 - Accent 52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2">
    <w:name w:val="Medium Grid 2 - Accent 62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2">
    <w:name w:val="Medium Grid 32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2">
    <w:name w:val="Medium Grid 3 - Accent 12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2">
    <w:name w:val="Medium Grid 3 - Accent 22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2">
    <w:name w:val="Medium Grid 3 - Accent 32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2">
    <w:name w:val="Medium Grid 3 - Accent 42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2">
    <w:name w:val="Medium Grid 3 - Accent 52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2">
    <w:name w:val="Medium Grid 3 - Accent 62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2">
    <w:name w:val="Medium List 12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2">
    <w:name w:val="Medium List 1 - Accent 12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2">
    <w:name w:val="Medium List 1 - Accent 22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2">
    <w:name w:val="Medium List 1 - Accent 32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2">
    <w:name w:val="Medium List 1 - Accent 42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2">
    <w:name w:val="Medium List 1 - Accent 62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2">
    <w:name w:val="Medium List 22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2">
    <w:name w:val="Medium List 2 - Accent 12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2">
    <w:name w:val="Medium List 2 - Accent 22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2">
    <w:name w:val="Medium List 2 - Accent 32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2">
    <w:name w:val="Medium List 2 - Accent 42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2">
    <w:name w:val="Medium List 2 - Accent 62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2">
    <w:name w:val="Medium Shading 1 - Accent 22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2">
    <w:name w:val="Medium Shading 1 - Accent 32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2">
    <w:name w:val="Medium Shading 1 - Accent 42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2">
    <w:name w:val="Medium Shading 1 - Accent 62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2">
    <w:name w:val="Medium Shading 2 - Accent 42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2">
    <w:name w:val="Medium Shading 2 - Accent 52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2">
    <w:name w:val="Medium Shading 2 - Accent 62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3">
    <w:name w:val="ECHR_A1_Style_Bulleted_Square3"/>
    <w:basedOn w:val="NoList"/>
    <w:rsid w:val="00DC2D95"/>
  </w:style>
  <w:style w:type="numbering" w:customStyle="1" w:styleId="ECHRA1StyleNumberedList3">
    <w:name w:val="ECHR_A1_Style_Numbered_List3"/>
    <w:basedOn w:val="NoList"/>
    <w:rsid w:val="00DC2D95"/>
  </w:style>
  <w:style w:type="table" w:customStyle="1" w:styleId="ECHRDNTable3">
    <w:name w:val="ECHR_DN_Table3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3">
    <w:name w:val="ECHR_Header_Table3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3">
    <w:name w:val="ECHR_Header_Table_Reduced3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4">
    <w:name w:val="ECHR_List_Table4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Fax3">
    <w:name w:val="ECHR_Table_Fax3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3">
    <w:name w:val="ECHR_Table_For_Internal_Use3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3">
    <w:name w:val="ECHR_Table_Memo3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3">
    <w:name w:val="ECHR_Table_No_Lines3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SimpleBox3">
    <w:name w:val="ECHR_Table_Simple_Box3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3">
    <w:name w:val="ECHR_Ltr_Table_Address3"/>
    <w:basedOn w:val="TableNormal"/>
    <w:uiPriority w:val="99"/>
    <w:rsid w:val="00DC2D95"/>
    <w:tblPr>
      <w:tblInd w:w="5103" w:type="dxa"/>
    </w:tblPr>
  </w:style>
  <w:style w:type="table" w:customStyle="1" w:styleId="ECHRPCFTableStyle3">
    <w:name w:val="ECHR_PCF_Table_Style3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30">
    <w:name w:val="Table Grid3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3">
    <w:name w:val="ECHR_UG_Table3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3">
    <w:name w:val="ECHR_UG_Table_White_Box3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2">
    <w:name w:val="ECHR_Table_Grey2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3">
    <w:name w:val="ECHR_A1_Style_List3"/>
    <w:basedOn w:val="NoList"/>
    <w:uiPriority w:val="99"/>
    <w:rsid w:val="00DC2D95"/>
  </w:style>
  <w:style w:type="table" w:customStyle="1" w:styleId="ECHRTable20163">
    <w:name w:val="ECHR_Table_2016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3">
    <w:name w:val="ECHR_Table_23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3">
    <w:name w:val="ECHR_Table_2019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3">
    <w:name w:val="Medium Shading 23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2">
    <w:name w:val="ECHR_A1_Style_Bulleted_Square12"/>
    <w:basedOn w:val="NoList"/>
    <w:rsid w:val="00DC2D95"/>
  </w:style>
  <w:style w:type="numbering" w:customStyle="1" w:styleId="ECHRA1StyleList12">
    <w:name w:val="ECHR_A1_Style_List12"/>
    <w:basedOn w:val="NoList"/>
    <w:uiPriority w:val="99"/>
    <w:rsid w:val="00DC2D95"/>
  </w:style>
  <w:style w:type="numbering" w:customStyle="1" w:styleId="ECHRA1StyleNumberedList12">
    <w:name w:val="ECHR_A1_Style_Numbered_List12"/>
    <w:basedOn w:val="NoList"/>
    <w:rsid w:val="00DC2D95"/>
  </w:style>
  <w:style w:type="table" w:customStyle="1" w:styleId="ECHRTable201912">
    <w:name w:val="ECHR_Table_2019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2">
    <w:name w:val="ECHR_Table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LtrTableAddress12">
    <w:name w:val="ECHR_Ltr_Table_Address12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2">
    <w:name w:val="Table Grid12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2">
    <w:name w:val="ECHR_UG_Table12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2">
    <w:name w:val="ECHR_UG_Table_White_Box12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2">
    <w:name w:val="ECHR_PCF_Table_Style12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2">
    <w:name w:val="ECHR_Table_Fax12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2">
    <w:name w:val="ECHR_Table_Memo12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2">
    <w:name w:val="ECHR_DN_Table12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2">
    <w:name w:val="ECHR_Table_Simple_Box12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2">
    <w:name w:val="ECHR_Table_No_Lines12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2">
    <w:name w:val="ECHR_Table_For_Internal_Use12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2">
    <w:name w:val="ECHR_List_Table12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2">
    <w:name w:val="ECHR_Header_Table12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2">
    <w:name w:val="ECHR_Table_Odd_Banded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2">
    <w:name w:val="ECHR_Header_Table_Reduced12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12">
    <w:name w:val="Medium Shading 212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CHRTable212">
    <w:name w:val="ECHR_Table_2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2">
    <w:name w:val="ECHR_Table_2016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numbering" w:customStyle="1" w:styleId="ECHRA1StyleBulletedSquare112">
    <w:name w:val="ECHR_A1_Style_Bulleted_Square112"/>
    <w:basedOn w:val="NoList"/>
    <w:rsid w:val="00DC2D95"/>
  </w:style>
  <w:style w:type="numbering" w:customStyle="1" w:styleId="ECHRA1StyleNumberedList112">
    <w:name w:val="ECHR_A1_Style_Numbered_List112"/>
    <w:basedOn w:val="NoList"/>
    <w:rsid w:val="00DC2D95"/>
  </w:style>
  <w:style w:type="table" w:customStyle="1" w:styleId="ECHRDNTable112">
    <w:name w:val="ECHR_DN_Table11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2">
    <w:name w:val="ECHR_Header_Table11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2">
    <w:name w:val="ECHR_Header_Table_Reduced11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2">
    <w:name w:val="ECHR_List_Table112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2">
    <w:name w:val="ECHR_Table1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2">
    <w:name w:val="ECHR_Table_Fax11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2">
    <w:name w:val="ECHR_Table_For_Internal_Use11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2">
    <w:name w:val="ECHR_Table_Memo11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2">
    <w:name w:val="ECHR_Table_No_Lines11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2">
    <w:name w:val="ECHR_Table_Odd_Banded1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2">
    <w:name w:val="ECHR_Table_Simple_Box11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2">
    <w:name w:val="ECHR_Ltr_Table_Address112"/>
    <w:basedOn w:val="TableNormal"/>
    <w:uiPriority w:val="99"/>
    <w:rsid w:val="00DC2D95"/>
    <w:tblPr>
      <w:tblInd w:w="5103" w:type="dxa"/>
    </w:tblPr>
  </w:style>
  <w:style w:type="table" w:customStyle="1" w:styleId="ECHRPCFTableStyle112">
    <w:name w:val="ECHR_PCF_Table_Style11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2">
    <w:name w:val="ECHR_UG_Table11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2">
    <w:name w:val="ECHR_UG_Table_White_Box11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12">
    <w:name w:val="ECHR_A1_Style_List112"/>
    <w:basedOn w:val="NoList"/>
    <w:uiPriority w:val="99"/>
    <w:rsid w:val="00DC2D95"/>
  </w:style>
  <w:style w:type="table" w:customStyle="1" w:styleId="ECHRTable2016112">
    <w:name w:val="ECHR_Table_2016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2">
    <w:name w:val="ECHR_Table_21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2">
    <w:name w:val="ECHR_Table_2019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2">
    <w:name w:val="Medium Shading 211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3">
    <w:name w:val="Colorful Grid3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3">
    <w:name w:val="Colorful Grid - Accent 13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3">
    <w:name w:val="Colorful Grid - Accent 33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3">
    <w:name w:val="Colorful Grid - Accent 43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3">
    <w:name w:val="Colorful Grid - Accent 53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3">
    <w:name w:val="Colorful Grid - Accent 63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3">
    <w:name w:val="Colorful List3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3">
    <w:name w:val="Colorful List - Accent 13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3">
    <w:name w:val="Colorful List - Accent 23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3">
    <w:name w:val="Colorful List - Accent 33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3">
    <w:name w:val="Colorful List - Accent 43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3">
    <w:name w:val="Colorful List - Accent 53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3">
    <w:name w:val="Colorful List - Accent 63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3">
    <w:name w:val="Colorful Shading3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3">
    <w:name w:val="Colorful Shading - Accent 13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3">
    <w:name w:val="Colorful Shading - Accent 23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3">
    <w:name w:val="Colorful Shading - Accent 33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3">
    <w:name w:val="Colorful Shading - Accent 43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3">
    <w:name w:val="Colorful Shading - Accent 53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3">
    <w:name w:val="Colorful Shading - Accent 63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3">
    <w:name w:val="Dark List3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3">
    <w:name w:val="Dark List - Accent 13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3">
    <w:name w:val="Dark List - Accent 23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3">
    <w:name w:val="Dark List - Accent 33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3">
    <w:name w:val="Dark List - Accent 43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3">
    <w:name w:val="Dark List - Accent 53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3">
    <w:name w:val="Dark List - Accent 63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3">
    <w:name w:val="Light Grid3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3">
    <w:name w:val="Light Grid - Accent 13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3">
    <w:name w:val="Light Grid - Accent 23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3">
    <w:name w:val="Light Grid - Accent 33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3">
    <w:name w:val="Light Grid - Accent 43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3">
    <w:name w:val="Light Grid - Accent 53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3">
    <w:name w:val="Light Grid - Accent 63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3">
    <w:name w:val="Light List3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3">
    <w:name w:val="Light List - Accent 13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3">
    <w:name w:val="Light List - Accent 23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3">
    <w:name w:val="Light List - Accent 33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3">
    <w:name w:val="Light List - Accent 43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3">
    <w:name w:val="Light List - Accent 53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3">
    <w:name w:val="Light List - Accent 63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3">
    <w:name w:val="Light Shading3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3">
    <w:name w:val="Light Shading - Accent 13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3">
    <w:name w:val="Light Shading - Accent 23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3">
    <w:name w:val="Light Shading - Accent 33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3">
    <w:name w:val="Light Shading - Accent 43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3">
    <w:name w:val="Light Shading - Accent 53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3">
    <w:name w:val="Light Shading - Accent 63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3">
    <w:name w:val="Medium Grid 13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3">
    <w:name w:val="Medium Grid 1 - Accent 13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3">
    <w:name w:val="Medium Grid 1 - Accent 23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3">
    <w:name w:val="Medium Grid 1 - Accent 33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3">
    <w:name w:val="Medium Grid 1 - Accent 43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3">
    <w:name w:val="Medium Grid 1 - Accent 53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3">
    <w:name w:val="Medium Grid 1 - Accent 63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3">
    <w:name w:val="Medium Grid 23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3">
    <w:name w:val="Medium Grid 2 - Accent 13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3">
    <w:name w:val="Medium Grid 2 - Accent 23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3">
    <w:name w:val="Medium Grid 2 - Accent 33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3">
    <w:name w:val="Medium Grid 2 - Accent 43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3">
    <w:name w:val="Medium Grid 2 - Accent 53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3">
    <w:name w:val="Medium Grid 2 - Accent 63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3">
    <w:name w:val="Medium Grid 33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3">
    <w:name w:val="Medium Grid 3 - Accent 13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3">
    <w:name w:val="Medium Grid 3 - Accent 23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3">
    <w:name w:val="Medium Grid 3 - Accent 33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3">
    <w:name w:val="Medium Grid 3 - Accent 43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3">
    <w:name w:val="Medium Grid 3 - Accent 53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3">
    <w:name w:val="Medium Grid 3 - Accent 63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3">
    <w:name w:val="Medium List 13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3">
    <w:name w:val="Medium List 1 - Accent 13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3">
    <w:name w:val="Medium List 1 - Accent 23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3">
    <w:name w:val="Medium List 1 - Accent 33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3">
    <w:name w:val="Medium List 1 - Accent 43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3">
    <w:name w:val="Medium List 1 - Accent 63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3">
    <w:name w:val="Medium List 23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3">
    <w:name w:val="Medium List 2 - Accent 13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3">
    <w:name w:val="Medium List 2 - Accent 23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3">
    <w:name w:val="Medium List 2 - Accent 33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3">
    <w:name w:val="Medium List 2 - Accent 43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3">
    <w:name w:val="Medium List 2 - Accent 63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3">
    <w:name w:val="Medium Shading 13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3">
    <w:name w:val="Medium Shading 1 - Accent 13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3">
    <w:name w:val="Medium Shading 1 - Accent 23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3">
    <w:name w:val="Medium Shading 1 - Accent 33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3">
    <w:name w:val="Medium Shading 1 - Accent 43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3">
    <w:name w:val="Medium Shading 1 - Accent 63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3">
    <w:name w:val="Medium Shading 2 - Accent 13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3">
    <w:name w:val="Medium Shading 2 - Accent 43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3">
    <w:name w:val="Medium Shading 2 - Accent 53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3">
    <w:name w:val="Medium Shading 2 - Accent 63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ntstyle01">
    <w:name w:val="fontstyle01"/>
    <w:basedOn w:val="DefaultParagraphFont"/>
    <w:rsid w:val="00D327E1"/>
    <w:rPr>
      <w:rFonts w:ascii="FuturaStd-Book" w:hAnsi="FuturaStd-Book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0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53157-15</Nr_x002e__x0020_akti>
    <Data_x0020_e_x0020_Krijimit xmlns="0e656187-b300-4fb0-8bf4-3a50f872073c">2023-07-26T11:06:29Z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>DC</P_x00eb_rshkrimi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2023-07-25T22:00:00Z</Date_x0020_protokolli>
    <Titulli xmlns="0e656187-b300-4fb0-8bf4-3a50f872073c">Çështja Zeqo dhe Seat sh.p.k. kundër Shqipërisë</Titulli>
    <Modifikuesi xmlns="0e656187-b300-4fb0-8bf4-3a50f872073c">Suada.Daci</Modifikuesi>
    <Nr_x002e__x0020_prot_x0020_QBZ xmlns="0e656187-b300-4fb0-8bf4-3a50f872073c">1124/1</Nr_x002e__x0020_prot_x0020_QBZ>
    <Data_x0020_e_x0020_Modifikimit xmlns="0e656187-b300-4fb0-8bf4-3a50f872073c">2023-07-26T11:41:44Z</Data_x0020_e_x0020_Modifikimit>
    <Dekretuar xmlns="0e656187-b300-4fb0-8bf4-3a50f872073c">false</Dekretuar>
    <Data xmlns="0e656187-b300-4fb0-8bf4-3a50f872073c">2023-06-21T22:00:00Z</Data>
    <Nr_x002e__x0020_protokolli_x0020_i_x0020_aktit xmlns="0e656187-b300-4fb0-8bf4-3a50f872073c">4412/1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DE9BFA212297464EA25CA9977298AB64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DE9BFA212297464EA25CA9977298AB64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AB02-26E1-4A46-8E82-6F7A6BCAD968}">
  <ds:schemaRefs>
    <ds:schemaRef ds:uri="http://purl.org/dc/terms/"/>
    <ds:schemaRef ds:uri="http://purl.org/dc/dcmitype/"/>
    <ds:schemaRef ds:uri="http://schemas.openxmlformats.org/package/2006/metadata/core-properties"/>
    <ds:schemaRef ds:uri="0e656187-b300-4fb0-8bf4-3a50f872073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6A32E4-541A-47C4-BBD4-953FD60BB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CB2993F-B26C-498E-A671-6119594874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2F8F0-6B5D-457B-92BA-FD57F1949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0A39CEB-06D8-46E8-B8DB-50AB6E75F15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2B687E9-3469-4BD6-9B1A-EF8ED610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</dc:subject>
  <dc:creator/>
  <cp:lastModifiedBy/>
  <cp:revision>1</cp:revision>
  <dcterms:created xsi:type="dcterms:W3CDTF">2024-01-12T09:27:00Z</dcterms:created>
  <dcterms:modified xsi:type="dcterms:W3CDTF">2024-01-12T09:27:00Z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QuickStyle">
    <vt:lpwstr>Jud_Styles_Eng_2019</vt:lpwstr>
  </property>
  <property fmtid="{D5CDD505-2E9C-101B-9397-08002B2CF9AE}" pid="4" name="RegisteredNo">
    <vt:lpwstr>13618/10</vt:lpwstr>
  </property>
  <property fmtid="{D5CDD505-2E9C-101B-9397-08002B2CF9AE}" pid="5" name="CASEID">
    <vt:lpwstr>627623</vt:lpwstr>
  </property>
  <property fmtid="{D5CDD505-2E9C-101B-9397-08002B2CF9AE}" pid="6" name="OrigTemp">
    <vt:lpwstr>English\Automation\Conversion Macros\NEW STYLES Decision.dotx</vt:lpwstr>
  </property>
  <property fmtid="{D5CDD505-2E9C-101B-9397-08002B2CF9AE}" pid="7" name="LaunchFolder">
    <vt:lpwstr>M:\Development of templates\</vt:lpwstr>
  </property>
  <property fmtid="{D5CDD505-2E9C-101B-9397-08002B2CF9AE}" pid="8" name="ContentTypeId">
    <vt:lpwstr>0x010100558EB02BDB9E204AB350EDD385B68E10</vt:lpwstr>
  </property>
</Properties>
</file>