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94DF6" w14:textId="77777777" w:rsidR="005418FA" w:rsidRPr="005D60D9" w:rsidRDefault="005418FA" w:rsidP="005418FA">
      <w:pPr>
        <w:spacing w:after="0" w:line="240" w:lineRule="auto"/>
        <w:ind w:firstLine="284"/>
        <w:jc w:val="center"/>
        <w:rPr>
          <w:rFonts w:ascii="Garamond" w:eastAsia="MS Mincho" w:hAnsi="Garamond"/>
          <w:sz w:val="24"/>
          <w:szCs w:val="24"/>
          <w:lang w:val="sq-AL"/>
        </w:rPr>
      </w:pPr>
      <w:bookmarkStart w:id="0" w:name="_GoBack"/>
      <w:bookmarkEnd w:id="0"/>
      <w:r w:rsidRPr="005D60D9">
        <w:rPr>
          <w:rFonts w:ascii="Garamond" w:eastAsia="MS Mincho" w:hAnsi="Garamond"/>
          <w:sz w:val="24"/>
          <w:szCs w:val="24"/>
          <w:lang w:val="sq-AL"/>
        </w:rPr>
        <w:t>GJYKATA EVROPIANE E TË DREJTAVE TË NJERIUT</w:t>
      </w:r>
    </w:p>
    <w:p w14:paraId="1D194DF7" w14:textId="77777777" w:rsidR="005418FA" w:rsidRPr="005D60D9" w:rsidRDefault="005418FA" w:rsidP="007202A0">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1D194DF8" w14:textId="77777777" w:rsidR="007202A0" w:rsidRPr="005D60D9" w:rsidRDefault="007202A0" w:rsidP="007202A0">
      <w:pPr>
        <w:tabs>
          <w:tab w:val="left" w:pos="5520"/>
        </w:tabs>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SEKSIONI I TRETË</w:t>
      </w:r>
    </w:p>
    <w:p w14:paraId="1D194DF9"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ÇËSHTJA HYSA KUNDËR SHQIPËRISË</w:t>
      </w:r>
    </w:p>
    <w:p w14:paraId="1D194DFA"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(Kërkesa nr. 52048/16)</w:t>
      </w:r>
    </w:p>
    <w:p w14:paraId="1D194DFB"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1D194DFC"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i/>
          <w:iCs/>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VENDIM</w:t>
      </w:r>
    </w:p>
    <w:p w14:paraId="1D194DF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s="Garamond"/>
          <w:color w:val="000000"/>
          <w:sz w:val="24"/>
          <w:szCs w:val="24"/>
          <w:lang w:val="sq-AL"/>
          <w14:ligatures w14:val="standardContextual"/>
        </w:rPr>
      </w:pPr>
    </w:p>
    <w:p w14:paraId="1D194DFE" w14:textId="3987AB93" w:rsidR="007202A0" w:rsidRPr="005D60D9" w:rsidRDefault="007202A0" w:rsidP="007202A0">
      <w:pPr>
        <w:autoSpaceDE w:val="0"/>
        <w:autoSpaceDN w:val="0"/>
        <w:adjustRightInd w:val="0"/>
        <w:spacing w:after="0" w:line="240" w:lineRule="auto"/>
        <w:ind w:firstLine="284"/>
        <w:jc w:val="both"/>
        <w:rPr>
          <w:rFonts w:ascii="Garamond" w:eastAsiaTheme="minorHAnsi" w:hAnsi="Garamond" w:cs="Garamond"/>
          <w:color w:val="000000"/>
          <w:sz w:val="24"/>
          <w:szCs w:val="24"/>
          <w:lang w:val="sq-AL"/>
          <w14:ligatures w14:val="standardContextual"/>
        </w:rPr>
      </w:pPr>
      <w:r w:rsidRPr="005D60D9">
        <w:rPr>
          <w:rFonts w:ascii="Garamond" w:eastAsiaTheme="minorHAnsi" w:hAnsi="Garamond" w:cs="Garamond"/>
          <w:color w:val="000000"/>
          <w:sz w:val="24"/>
          <w:szCs w:val="24"/>
          <w:lang w:val="sq-AL"/>
          <w14:ligatures w14:val="standardContextual"/>
        </w:rPr>
        <w:t>Neni 5 § 3 – Arsyeshmëria e paraburgimit – Mosdhënia e arsyeve të duhura dhe të mjaftueshme nga gjykatat vend</w:t>
      </w:r>
      <w:r w:rsidR="006C1130">
        <w:rPr>
          <w:rFonts w:ascii="Garamond" w:eastAsiaTheme="minorHAnsi" w:hAnsi="Garamond" w:cs="Garamond"/>
          <w:color w:val="000000"/>
          <w:sz w:val="24"/>
          <w:szCs w:val="24"/>
          <w:lang w:val="sq-AL"/>
          <w14:ligatures w14:val="standardContextual"/>
        </w:rPr>
        <w:t>ë</w:t>
      </w:r>
      <w:r w:rsidRPr="005D60D9">
        <w:rPr>
          <w:rFonts w:ascii="Garamond" w:eastAsiaTheme="minorHAnsi" w:hAnsi="Garamond" w:cs="Garamond"/>
          <w:color w:val="000000"/>
          <w:sz w:val="24"/>
          <w:szCs w:val="24"/>
          <w:lang w:val="sq-AL"/>
          <w14:ligatures w14:val="standardContextual"/>
        </w:rPr>
        <w:t>se për të justifikuar paraburgimin e kërkueses – Të meta në arsyetim të pakorrigjuara me anë të shqyrtimit në kasacion ose shqyrtimit kushtetues</w:t>
      </w:r>
      <w:r w:rsidR="006C1130">
        <w:rPr>
          <w:rFonts w:ascii="Garamond" w:eastAsiaTheme="minorHAnsi" w:hAnsi="Garamond" w:cs="Garamond"/>
          <w:color w:val="000000"/>
          <w:sz w:val="24"/>
          <w:szCs w:val="24"/>
          <w:lang w:val="sq-AL"/>
          <w14:ligatures w14:val="standardContextual"/>
        </w:rPr>
        <w:t>,</w:t>
      </w:r>
      <w:r w:rsidRPr="005D60D9">
        <w:rPr>
          <w:rFonts w:ascii="Garamond" w:eastAsiaTheme="minorHAnsi" w:hAnsi="Garamond" w:cs="Garamond"/>
          <w:color w:val="000000"/>
          <w:sz w:val="24"/>
          <w:szCs w:val="24"/>
          <w:lang w:val="sq-AL"/>
          <w14:ligatures w14:val="standardContextual"/>
        </w:rPr>
        <w:t xml:space="preserve"> për shkak të refuzimit të Gjykatës Kushtetuese për të shqyrtuar dënimin me burg</w:t>
      </w:r>
    </w:p>
    <w:p w14:paraId="1D194DFF"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1D194E00"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STRASBURG</w:t>
      </w:r>
    </w:p>
    <w:p w14:paraId="1D194E01" w14:textId="77777777" w:rsidR="007A3B61" w:rsidRPr="005D60D9" w:rsidRDefault="007A3B61"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1D194E02" w14:textId="0362545A"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21 </w:t>
      </w:r>
      <w:r w:rsidR="00F118D6"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2023</w:t>
      </w:r>
    </w:p>
    <w:p w14:paraId="1D194E03" w14:textId="77777777" w:rsidR="007A3B61" w:rsidRPr="005D60D9" w:rsidRDefault="007A3B61" w:rsidP="007202A0">
      <w:pPr>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p>
    <w:p w14:paraId="1D194E04"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I FORMËS SË PRERË</w:t>
      </w:r>
    </w:p>
    <w:p w14:paraId="1D194E05" w14:textId="77777777" w:rsidR="007A3B61" w:rsidRPr="005D60D9" w:rsidRDefault="007A3B61"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1D194E06" w14:textId="2B91AC52"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21</w:t>
      </w:r>
      <w:r w:rsidR="00F118D6">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5</w:t>
      </w:r>
      <w:r w:rsidR="00F118D6">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2023</w:t>
      </w:r>
    </w:p>
    <w:p w14:paraId="1D194E07"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i/>
          <w:iCs/>
          <w:color w:val="000000"/>
          <w:sz w:val="24"/>
          <w:szCs w:val="24"/>
          <w:lang w:val="sq-AL"/>
          <w14:ligatures w14:val="standardContextual"/>
        </w:rPr>
      </w:pPr>
    </w:p>
    <w:p w14:paraId="1D194E08" w14:textId="07C25995" w:rsidR="007202A0" w:rsidRPr="005D60D9" w:rsidRDefault="007202A0" w:rsidP="007202A0">
      <w:pPr>
        <w:autoSpaceDE w:val="0"/>
        <w:autoSpaceDN w:val="0"/>
        <w:adjustRightInd w:val="0"/>
        <w:spacing w:after="0" w:line="240" w:lineRule="auto"/>
        <w:ind w:firstLine="284"/>
        <w:jc w:val="center"/>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 xml:space="preserve">Ky vendim është bërë i formës së prerë sipas </w:t>
      </w:r>
      <w:r w:rsidR="00F118D6" w:rsidRPr="005D60D9">
        <w:rPr>
          <w:rFonts w:ascii="Garamond" w:eastAsiaTheme="minorHAnsi" w:hAnsi="Garamond"/>
          <w:i/>
          <w:iCs/>
          <w:color w:val="000000"/>
          <w:sz w:val="24"/>
          <w:szCs w:val="24"/>
          <w:lang w:val="sq-AL"/>
          <w14:ligatures w14:val="standardContextual"/>
        </w:rPr>
        <w:t xml:space="preserve">nenit </w:t>
      </w:r>
      <w:r w:rsidRPr="005D60D9">
        <w:rPr>
          <w:rFonts w:ascii="Garamond" w:eastAsiaTheme="minorHAnsi" w:hAnsi="Garamond"/>
          <w:i/>
          <w:iCs/>
          <w:color w:val="000000"/>
          <w:sz w:val="24"/>
          <w:szCs w:val="24"/>
          <w:lang w:val="sq-AL"/>
          <w14:ligatures w14:val="standardContextual"/>
        </w:rPr>
        <w:t>44 § 2 të Konventës. Ai mund të bëhet objekt i një rishikimi redaktues.</w:t>
      </w:r>
    </w:p>
    <w:p w14:paraId="1D194E09"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p>
    <w:p w14:paraId="1D194E0A"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Në çështjen Hysa kundër Shqipërisë,</w:t>
      </w:r>
    </w:p>
    <w:p w14:paraId="1D194E0B"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Gjykata Evropiane e të Drejtave të Njeriut (Seksioni i Tretë), e mbledhur si një Dhomë e përbërë nga: </w:t>
      </w:r>
    </w:p>
    <w:p w14:paraId="1D194E0C" w14:textId="53E60385"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i/>
          <w:iCs/>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Pere Pastor Vilanova,</w:t>
      </w:r>
      <w:r w:rsidRPr="005D60D9">
        <w:rPr>
          <w:rFonts w:ascii="Garamond" w:eastAsiaTheme="minorHAnsi" w:hAnsi="Garamond"/>
          <w:i/>
          <w:iCs/>
          <w:color w:val="000000"/>
          <w:sz w:val="24"/>
          <w:szCs w:val="24"/>
          <w:lang w:val="sq-AL"/>
          <w14:ligatures w14:val="standardContextual"/>
        </w:rPr>
        <w:t xml:space="preserve"> </w:t>
      </w:r>
      <w:r w:rsidR="00F118D6" w:rsidRPr="005D60D9">
        <w:rPr>
          <w:rFonts w:ascii="Garamond" w:eastAsiaTheme="minorHAnsi" w:hAnsi="Garamond"/>
          <w:i/>
          <w:iCs/>
          <w:color w:val="000000"/>
          <w:sz w:val="24"/>
          <w:szCs w:val="24"/>
          <w:lang w:val="sq-AL"/>
          <w14:ligatures w14:val="standardContextual"/>
        </w:rPr>
        <w:t>kryetar</w:t>
      </w:r>
      <w:r w:rsidRPr="005D60D9">
        <w:rPr>
          <w:rFonts w:ascii="Garamond" w:eastAsiaTheme="minorHAnsi" w:hAnsi="Garamond"/>
          <w:i/>
          <w:iCs/>
          <w:color w:val="000000"/>
          <w:sz w:val="24"/>
          <w:szCs w:val="24"/>
          <w:lang w:val="sq-AL"/>
          <w14:ligatures w14:val="standardContextual"/>
        </w:rPr>
        <w:t>,</w:t>
      </w:r>
    </w:p>
    <w:p w14:paraId="1D194E0D"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Georgios A. Serghides,</w:t>
      </w:r>
    </w:p>
    <w:p w14:paraId="1D194E0E"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Yonk Grozev,</w:t>
      </w:r>
    </w:p>
    <w:p w14:paraId="1D194E0F"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Jolien Schukking,</w:t>
      </w:r>
    </w:p>
    <w:p w14:paraId="1D194E10"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Darian Pavli,</w:t>
      </w:r>
    </w:p>
    <w:p w14:paraId="1D194E11"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Peeter Roosma,</w:t>
      </w:r>
    </w:p>
    <w:p w14:paraId="1D194E12"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Ioannis Ktistakis, </w:t>
      </w:r>
      <w:r w:rsidRPr="005D60D9">
        <w:rPr>
          <w:rFonts w:ascii="Garamond" w:eastAsiaTheme="minorHAnsi" w:hAnsi="Garamond"/>
          <w:i/>
          <w:iCs/>
          <w:color w:val="000000"/>
          <w:sz w:val="24"/>
          <w:szCs w:val="24"/>
          <w:lang w:val="sq-AL"/>
          <w14:ligatures w14:val="standardContextual"/>
        </w:rPr>
        <w:t xml:space="preserve">gjyqtarë </w:t>
      </w:r>
    </w:p>
    <w:p w14:paraId="1D194E13"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dhe Milan Blaško, </w:t>
      </w:r>
      <w:r w:rsidRPr="005D60D9">
        <w:rPr>
          <w:rFonts w:ascii="Garamond" w:eastAsiaTheme="minorHAnsi" w:hAnsi="Garamond"/>
          <w:i/>
          <w:iCs/>
          <w:color w:val="000000"/>
          <w:sz w:val="24"/>
          <w:szCs w:val="24"/>
          <w:lang w:val="sq-AL"/>
          <w14:ligatures w14:val="standardContextual"/>
        </w:rPr>
        <w:t>Sekretar i Seksionit,</w:t>
      </w:r>
    </w:p>
    <w:p w14:paraId="1D194E14" w14:textId="77777777" w:rsidR="007202A0" w:rsidRPr="005D60D9" w:rsidRDefault="007202A0" w:rsidP="007202A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Duke mbajtur në konsideratë: </w:t>
      </w:r>
    </w:p>
    <w:p w14:paraId="1D194E15" w14:textId="291719B4" w:rsidR="007202A0" w:rsidRPr="005D60D9" w:rsidRDefault="007202A0" w:rsidP="007202A0">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kërkesën (nr. 52048/16) kundër Republikës së Shqipërisë paraqitur pranë Gjykatës, në mbështetje të </w:t>
      </w:r>
      <w:r w:rsidR="00B24541"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34 të Konventës për Mbrojtjen e të Drejtave të Njeriut dhe Lirive Themelore (“Konventa”) nga një shtetase shqiptare, </w:t>
      </w:r>
      <w:r w:rsidR="00F118D6" w:rsidRPr="005D60D9">
        <w:rPr>
          <w:rFonts w:ascii="Garamond" w:eastAsiaTheme="minorHAnsi" w:hAnsi="Garamond"/>
          <w:color w:val="000000"/>
          <w:sz w:val="24"/>
          <w:szCs w:val="24"/>
          <w:lang w:val="sq-AL"/>
          <w14:ligatures w14:val="standardContextual"/>
        </w:rPr>
        <w:t>z</w:t>
      </w:r>
      <w:r w:rsidR="00F118D6">
        <w:rPr>
          <w:rFonts w:ascii="Garamond" w:eastAsiaTheme="minorHAnsi" w:hAnsi="Garamond"/>
          <w:color w:val="000000"/>
          <w:sz w:val="24"/>
          <w:szCs w:val="24"/>
          <w:lang w:val="sq-AL"/>
          <w14:ligatures w14:val="standardContextual"/>
        </w:rPr>
        <w:t>n</w:t>
      </w:r>
      <w:r w:rsidR="00F118D6" w:rsidRPr="005D60D9">
        <w:rPr>
          <w:rFonts w:ascii="Garamond" w:eastAsiaTheme="minorHAnsi" w:hAnsi="Garamond"/>
          <w:color w:val="000000"/>
          <w:sz w:val="24"/>
          <w:szCs w:val="24"/>
          <w:lang w:val="sq-AL"/>
          <w14:ligatures w14:val="standardContextual"/>
        </w:rPr>
        <w:t>j</w:t>
      </w:r>
      <w:r w:rsidRPr="005D60D9">
        <w:rPr>
          <w:rFonts w:ascii="Garamond" w:eastAsiaTheme="minorHAnsi" w:hAnsi="Garamond"/>
          <w:color w:val="000000"/>
          <w:sz w:val="24"/>
          <w:szCs w:val="24"/>
          <w:lang w:val="sq-AL"/>
          <w14:ligatures w14:val="standardContextual"/>
        </w:rPr>
        <w:t xml:space="preserve">. Afërdita Hysa (“ankuesja”), më 22 </w:t>
      </w:r>
      <w:r w:rsidR="00F118D6" w:rsidRPr="005D60D9">
        <w:rPr>
          <w:rFonts w:ascii="Garamond" w:eastAsiaTheme="minorHAnsi" w:hAnsi="Garamond"/>
          <w:color w:val="000000"/>
          <w:sz w:val="24"/>
          <w:szCs w:val="24"/>
          <w:lang w:val="sq-AL"/>
          <w14:ligatures w14:val="standardContextual"/>
        </w:rPr>
        <w:t xml:space="preserve">gusht </w:t>
      </w:r>
      <w:r w:rsidRPr="005D60D9">
        <w:rPr>
          <w:rFonts w:ascii="Garamond" w:eastAsiaTheme="minorHAnsi" w:hAnsi="Garamond"/>
          <w:color w:val="000000"/>
          <w:sz w:val="24"/>
          <w:szCs w:val="24"/>
          <w:lang w:val="sq-AL"/>
          <w14:ligatures w14:val="standardContextual"/>
        </w:rPr>
        <w:t>2016;</w:t>
      </w:r>
    </w:p>
    <w:p w14:paraId="1D194E16" w14:textId="314C853B" w:rsidR="007202A0" w:rsidRPr="005D60D9" w:rsidRDefault="007202A0" w:rsidP="007202A0">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vendimin për të njoftuar Qeverinë shqiptare (“Qeveria”) për ankesat sipas </w:t>
      </w:r>
      <w:r w:rsidR="00F118D6"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5 §§ 3 dhe 4 të Konventës</w:t>
      </w:r>
      <w:r w:rsidR="00B24541">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mungesën e pretenduar të arsyeve të duhura dhe të mjaftueshme që justifikojnë paraburgimin e kërkueses, si edhe shqyrtimin nga gjykata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w:t>
      </w:r>
      <w:r w:rsidR="00B24541">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të pretenduar si jo efektiv </w:t>
      </w:r>
      <w:r w:rsidR="00B24541">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të apelimeve të saj për këtë çështje; dhe </w:t>
      </w:r>
    </w:p>
    <w:p w14:paraId="1D194E17" w14:textId="77777777" w:rsidR="007202A0" w:rsidRPr="005D60D9" w:rsidRDefault="007202A0" w:rsidP="007202A0">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vendimin për ta shpallur pjesën tjetër të kërkesës të papranueshme; </w:t>
      </w:r>
    </w:p>
    <w:p w14:paraId="1D194E18" w14:textId="77777777" w:rsidR="007202A0" w:rsidRPr="005D60D9" w:rsidRDefault="007202A0" w:rsidP="007202A0">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vërejtjet e palëve; </w:t>
      </w:r>
    </w:p>
    <w:p w14:paraId="1D194E19" w14:textId="77777777" w:rsidR="007202A0" w:rsidRPr="005D60D9" w:rsidRDefault="007202A0" w:rsidP="007202A0">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për kërkesën;</w:t>
      </w:r>
    </w:p>
    <w:p w14:paraId="1D194E1A" w14:textId="4CC801D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Pasi diskutoi me dyer të mbyllura më datë 13 </w:t>
      </w:r>
      <w:r w:rsidR="00B24541" w:rsidRPr="005D60D9">
        <w:rPr>
          <w:rFonts w:ascii="Garamond" w:eastAsiaTheme="minorHAnsi" w:hAnsi="Garamond"/>
          <w:color w:val="000000"/>
          <w:sz w:val="24"/>
          <w:szCs w:val="24"/>
          <w:lang w:val="sq-AL"/>
          <w14:ligatures w14:val="standardContextual"/>
        </w:rPr>
        <w:t xml:space="preserve">dhjetor </w:t>
      </w:r>
      <w:r w:rsidRPr="005D60D9">
        <w:rPr>
          <w:rFonts w:ascii="Garamond" w:eastAsiaTheme="minorHAnsi" w:hAnsi="Garamond"/>
          <w:color w:val="000000"/>
          <w:sz w:val="24"/>
          <w:szCs w:val="24"/>
          <w:lang w:val="sq-AL"/>
          <w14:ligatures w14:val="standardContextual"/>
        </w:rPr>
        <w:t xml:space="preserve">2022 dhe 31 </w:t>
      </w:r>
      <w:r w:rsidR="00B24541" w:rsidRPr="005D60D9">
        <w:rPr>
          <w:rFonts w:ascii="Garamond" w:eastAsiaTheme="minorHAnsi" w:hAnsi="Garamond"/>
          <w:color w:val="000000"/>
          <w:sz w:val="24"/>
          <w:szCs w:val="24"/>
          <w:lang w:val="sq-AL"/>
          <w14:ligatures w14:val="standardContextual"/>
        </w:rPr>
        <w:t xml:space="preserve">janar </w:t>
      </w:r>
      <w:r w:rsidRPr="005D60D9">
        <w:rPr>
          <w:rFonts w:ascii="Garamond" w:eastAsiaTheme="minorHAnsi" w:hAnsi="Garamond"/>
          <w:color w:val="000000"/>
          <w:sz w:val="24"/>
          <w:szCs w:val="24"/>
          <w:lang w:val="sq-AL"/>
          <w14:ligatures w14:val="standardContextual"/>
        </w:rPr>
        <w:t>2023</w:t>
      </w:r>
      <w:r w:rsidR="00B24541">
        <w:rPr>
          <w:rFonts w:ascii="Garamond" w:eastAsiaTheme="minorHAnsi" w:hAnsi="Garamond"/>
          <w:color w:val="000000"/>
          <w:sz w:val="24"/>
          <w:szCs w:val="24"/>
          <w:lang w:val="sq-AL"/>
          <w14:ligatures w14:val="standardContextual"/>
        </w:rPr>
        <w:t>;</w:t>
      </w:r>
    </w:p>
    <w:p w14:paraId="1D194E1B" w14:textId="359AA433" w:rsidR="007202A0" w:rsidRPr="005D60D9" w:rsidRDefault="00B24541"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Shpall </w:t>
      </w:r>
      <w:r w:rsidR="007202A0" w:rsidRPr="005D60D9">
        <w:rPr>
          <w:rFonts w:ascii="Garamond" w:eastAsiaTheme="minorHAnsi" w:hAnsi="Garamond"/>
          <w:color w:val="000000"/>
          <w:sz w:val="24"/>
          <w:szCs w:val="24"/>
          <w:lang w:val="sq-AL"/>
          <w14:ligatures w14:val="standardContextual"/>
        </w:rPr>
        <w:t>vendimin e mëposhtëm, i cili u miratua në datën e fundit</w:t>
      </w:r>
      <w:r>
        <w:rPr>
          <w:rFonts w:ascii="Garamond" w:eastAsiaTheme="minorHAnsi" w:hAnsi="Garamond"/>
          <w:color w:val="000000"/>
          <w:sz w:val="24"/>
          <w:szCs w:val="24"/>
          <w:lang w:val="sq-AL"/>
          <w14:ligatures w14:val="standardContextual"/>
        </w:rPr>
        <w:t>.</w:t>
      </w:r>
    </w:p>
    <w:p w14:paraId="1D194E1C"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HYRJE</w:t>
      </w:r>
    </w:p>
    <w:p w14:paraId="1D194E1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Çështja ka të bëjë me pretendimin për mungesën e arsyeve të duhura dhe të mjaftueshme për të justifikuar paraburgimin e kërkuesit. </w:t>
      </w:r>
    </w:p>
    <w:p w14:paraId="10297F78" w14:textId="77777777" w:rsidR="00845F39" w:rsidRDefault="00845F39"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p>
    <w:p w14:paraId="1D194E1E"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lastRenderedPageBreak/>
        <w:t xml:space="preserve">FAKTET </w:t>
      </w:r>
    </w:p>
    <w:p w14:paraId="1D194E1F"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Kërkuesja ka lindur në vitin 1968 dhe jeton në Tiranë. Fillimisht, ajo u përfaqësua nga P. Thaçi dhe në vijim nga Z. F. Caka, një avokat i cili e ushtron profesionin në Tiranë. </w:t>
      </w:r>
    </w:p>
    <w:p w14:paraId="1D194E20" w14:textId="0E1233D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shqiptare (“Qeveria”) fillimisht u përfaqësua nga ish-agjenti i saj </w:t>
      </w:r>
      <w:r w:rsidR="00EA4022" w:rsidRPr="005D60D9">
        <w:rPr>
          <w:rFonts w:ascii="Garamond" w:eastAsiaTheme="minorHAnsi" w:hAnsi="Garamond"/>
          <w:color w:val="000000"/>
          <w:sz w:val="24"/>
          <w:szCs w:val="24"/>
          <w:lang w:val="sq-AL"/>
          <w14:ligatures w14:val="standardContextual"/>
        </w:rPr>
        <w:t>z</w:t>
      </w:r>
      <w:r w:rsidRPr="005D60D9">
        <w:rPr>
          <w:rFonts w:ascii="Garamond" w:eastAsiaTheme="minorHAnsi" w:hAnsi="Garamond"/>
          <w:color w:val="000000"/>
          <w:sz w:val="24"/>
          <w:szCs w:val="24"/>
          <w:lang w:val="sq-AL"/>
          <w14:ligatures w14:val="standardContextual"/>
        </w:rPr>
        <w:t xml:space="preserve">. B. Lilo, dhe në vijim nga </w:t>
      </w:r>
      <w:r w:rsidR="006508A1" w:rsidRPr="005D60D9">
        <w:rPr>
          <w:rFonts w:ascii="Garamond" w:eastAsiaTheme="minorHAnsi" w:hAnsi="Garamond"/>
          <w:color w:val="000000"/>
          <w:sz w:val="24"/>
          <w:szCs w:val="24"/>
          <w:lang w:val="sq-AL"/>
          <w14:ligatures w14:val="standardContextual"/>
        </w:rPr>
        <w:t>z.</w:t>
      </w:r>
      <w:r w:rsidRPr="005D60D9">
        <w:rPr>
          <w:rFonts w:ascii="Garamond" w:eastAsiaTheme="minorHAnsi" w:hAnsi="Garamond"/>
          <w:color w:val="000000"/>
          <w:sz w:val="24"/>
          <w:szCs w:val="24"/>
          <w:lang w:val="sq-AL"/>
          <w14:ligatures w14:val="standardContextual"/>
        </w:rPr>
        <w:t xml:space="preserve"> O. Moçka, Avokat i Përgjithshëm i Shtetit. </w:t>
      </w:r>
    </w:p>
    <w:p w14:paraId="1D194E21"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PRIVIMI I KËRKUESES NGA LIRIA </w:t>
      </w:r>
    </w:p>
    <w:p w14:paraId="1D194E22"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periudhën përkatëse, kërkuesja ishte e punësuar pranë Drejtorisë Rajonale të Tatimeve dhe mbante pozicionin e drejtoreshës së Drejtorisë së Kontrollit. </w:t>
      </w:r>
    </w:p>
    <w:p w14:paraId="1D194E23"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A.</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Periudha e parë e burgimit</w:t>
      </w:r>
    </w:p>
    <w:p w14:paraId="1D194E24"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1.</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Vendim i Gjykatës së Rrethit Tiranë</w:t>
      </w:r>
    </w:p>
    <w:p w14:paraId="1D194E25" w14:textId="3697A49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Mbështetur në një kërkesë të paraqitur nga Prokuroria e Tiranës dhe pas një seance gjyqësore mbajtur në mungesë të kërkueses, në datën 5 </w:t>
      </w:r>
      <w:r w:rsidR="006508A1"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Gjykata e Rrethit Tiranë lëshoi urdhrin për paraburgimin e kërkueses me dyshimin se ajo kishte kryer veprën e shpërdorimit të detyrës, në kundërshtim me </w:t>
      </w:r>
      <w:r w:rsidR="006508A1"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248 të Kodit Penal. </w:t>
      </w:r>
    </w:p>
    <w:p w14:paraId="1D194E26" w14:textId="5258E7DE"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arriti në përfundimin se ishin përmbushur kushtet për dhënien e masës së burgimit parashikuar nga </w:t>
      </w:r>
      <w:r w:rsidR="000820EA" w:rsidRPr="005D60D9">
        <w:rPr>
          <w:rFonts w:ascii="Garamond" w:eastAsiaTheme="minorHAnsi" w:hAnsi="Garamond"/>
          <w:color w:val="000000"/>
          <w:sz w:val="24"/>
          <w:szCs w:val="24"/>
          <w:lang w:val="sq-AL"/>
          <w14:ligatures w14:val="standardContextual"/>
        </w:rPr>
        <w:t>nen</w:t>
      </w:r>
      <w:r w:rsidR="000820EA">
        <w:rPr>
          <w:rFonts w:ascii="Garamond" w:eastAsiaTheme="minorHAnsi" w:hAnsi="Garamond"/>
          <w:color w:val="000000"/>
          <w:sz w:val="24"/>
          <w:szCs w:val="24"/>
          <w:lang w:val="sq-AL"/>
          <w14:ligatures w14:val="standardContextual"/>
        </w:rPr>
        <w:t>et</w:t>
      </w:r>
      <w:r w:rsidR="000820EA"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228 dhe 229 i Kodit të Procedurës Penale (shih paragrafët 29</w:t>
      </w:r>
      <w:r w:rsidR="00941977">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30 më poshtë). Gjykata konstatoi se kërkuesja ishte pezulluar pasi (gjatë periudhës kur vepronte në pozicionin e saj zyrtar) kishte miratuar rimbursim për një sërë kompanish në vlerën prej 515,455,275 lekë</w:t>
      </w:r>
      <w:r w:rsidR="00941977">
        <w:rPr>
          <w:rFonts w:ascii="Garamond" w:eastAsiaTheme="minorHAnsi" w:hAnsi="Garamond"/>
          <w:color w:val="000000"/>
          <w:sz w:val="24"/>
          <w:szCs w:val="24"/>
          <w:lang w:val="sq-AL"/>
          <w14:ligatures w14:val="standardContextual"/>
        </w:rPr>
        <w:t>sh</w:t>
      </w:r>
      <w:r w:rsidRPr="005D60D9">
        <w:rPr>
          <w:rFonts w:ascii="Garamond" w:eastAsiaTheme="minorHAnsi" w:hAnsi="Garamond"/>
          <w:color w:val="000000"/>
          <w:sz w:val="24"/>
          <w:szCs w:val="24"/>
          <w:lang w:val="sq-AL"/>
          <w14:ligatures w14:val="standardContextual"/>
        </w:rPr>
        <w:t xml:space="preserve"> (LEK – rreth 3.7 milion</w:t>
      </w:r>
      <w:r w:rsidR="00530CE2">
        <w:rPr>
          <w:rFonts w:ascii="Garamond" w:eastAsiaTheme="minorHAnsi" w:hAnsi="Garamond"/>
          <w:color w:val="000000"/>
          <w:sz w:val="24"/>
          <w:szCs w:val="24"/>
          <w:lang w:val="sq-AL"/>
          <w14:ligatures w14:val="standardContextual"/>
        </w:rPr>
        <w:t>ë</w:t>
      </w:r>
      <w:r w:rsidRPr="005D60D9">
        <w:rPr>
          <w:rFonts w:ascii="Garamond" w:eastAsiaTheme="minorHAnsi" w:hAnsi="Garamond"/>
          <w:color w:val="000000"/>
          <w:sz w:val="24"/>
          <w:szCs w:val="24"/>
          <w:lang w:val="sq-AL"/>
          <w14:ligatures w14:val="standardContextual"/>
        </w:rPr>
        <w:t xml:space="preserve"> euro (EUR) në periudhën konkrete) për taksën e vlerës së shtuar, në shkelje të legjislacionit të zbatueshëm për tatimet. </w:t>
      </w:r>
    </w:p>
    <w:p w14:paraId="1D194E27"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Përveç përshkrimit në detaje të shkeljes së dyshuar të rregullave përkatës për tatimet, gjykata iu referua “rrethanave të kryerjes së shkeljes dhe rrezikun për arratisje të së dyshuarës”. </w:t>
      </w:r>
    </w:p>
    <w:p w14:paraId="1D194E28"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Gjithashtu, gjykata theksoi se: </w:t>
      </w:r>
    </w:p>
    <w:p w14:paraId="1D194E29" w14:textId="4239BC14"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“Në dhënien e masës së sigurisë së “paraburgimit”, [g]jykata mban në konsideratë veçanërisht pajtueshmërinë e kësaj mase sigurie me kërkesat e çështjes në fjalë. Gjykata e konsideron këtë masë sigurie proporcionale me aspektin se sa të rënda janë faktet dhe dënimin për këtë vepër penale. Vepra e “shpërdorimit të detyrës”, për të cilën Afërdita Hysa është e dyshuar, ka pasur pasojë të rënda për financat e </w:t>
      </w:r>
      <w:r w:rsidR="00940353" w:rsidRPr="005D60D9">
        <w:rPr>
          <w:rFonts w:ascii="Garamond" w:eastAsiaTheme="minorHAnsi" w:hAnsi="Garamond"/>
          <w:color w:val="000000"/>
          <w:sz w:val="24"/>
          <w:szCs w:val="24"/>
          <w:lang w:val="sq-AL"/>
          <w14:ligatures w14:val="standardContextual"/>
        </w:rPr>
        <w:t xml:space="preserve">shtetit </w:t>
      </w:r>
      <w:r w:rsidRPr="005D60D9">
        <w:rPr>
          <w:rFonts w:ascii="Garamond" w:eastAsiaTheme="minorHAnsi" w:hAnsi="Garamond"/>
          <w:color w:val="000000"/>
          <w:sz w:val="24"/>
          <w:szCs w:val="24"/>
          <w:lang w:val="sq-AL"/>
          <w14:ligatures w14:val="standardContextual"/>
        </w:rPr>
        <w:t>në shumën prej 515,455,275 lekë</w:t>
      </w:r>
      <w:r w:rsidR="00530CE2">
        <w:rPr>
          <w:rFonts w:ascii="Garamond" w:eastAsiaTheme="minorHAnsi" w:hAnsi="Garamond"/>
          <w:color w:val="000000"/>
          <w:sz w:val="24"/>
          <w:szCs w:val="24"/>
          <w:lang w:val="sq-AL"/>
          <w14:ligatures w14:val="standardContextual"/>
        </w:rPr>
        <w:t>sh</w:t>
      </w:r>
      <w:r w:rsidRPr="005D60D9">
        <w:rPr>
          <w:rFonts w:ascii="Garamond" w:eastAsiaTheme="minorHAnsi" w:hAnsi="Garamond"/>
          <w:color w:val="000000"/>
          <w:sz w:val="24"/>
          <w:szCs w:val="24"/>
          <w:lang w:val="sq-AL"/>
          <w14:ligatures w14:val="standardContextual"/>
        </w:rPr>
        <w:t xml:space="preserve"> [shqiptarë], [dhe] vlerësohet nga [g]jykata sipas rrezikut që ajo përbën për shoqërinë, qëllimin e saj, pasojat e shkaktuara prej saj, formën [që ka marrë], llojin dhe kohëzgjatjen e dënimit që parashikohet nga ligji [për këtë vepër], si edhe rrethanat rënduese dhe lehtësuese që ekzistojnë në këtë fazë të hetimit. </w:t>
      </w:r>
    </w:p>
    <w:p w14:paraId="1D194E2A" w14:textId="4D66CE9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Duke pasur parasysh këto kushte, [g]jykata vendos të urdhërojë ndalimin e të dyshuarës Afërdita Hysa, pasi vlerëson se çdo masë tjetër sigurie do të ishte e papërshtatshme.”</w:t>
      </w:r>
      <w:r w:rsidR="00625457">
        <w:rPr>
          <w:rFonts w:ascii="Garamond" w:eastAsiaTheme="minorHAnsi" w:hAnsi="Garamond"/>
          <w:color w:val="000000"/>
          <w:sz w:val="24"/>
          <w:szCs w:val="24"/>
          <w:lang w:val="sq-AL"/>
          <w14:ligatures w14:val="standardContextual"/>
        </w:rPr>
        <w:t>.</w:t>
      </w:r>
    </w:p>
    <w:p w14:paraId="1D194E2B" w14:textId="25C916A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9.</w:t>
      </w:r>
      <w:r w:rsidR="007A3B61" w:rsidRPr="005D60D9">
        <w:rPr>
          <w:rFonts w:ascii="Garamond" w:eastAsiaTheme="minorHAnsi" w:hAnsi="Garamond"/>
          <w:color w:val="000000"/>
          <w:sz w:val="24"/>
          <w:szCs w:val="24"/>
          <w:lang w:val="sq-AL"/>
          <w14:ligatures w14:val="standardContextual"/>
        </w:rPr>
        <w:t xml:space="preserve"> </w:t>
      </w:r>
      <w:r w:rsidR="00845F39">
        <w:rPr>
          <w:rFonts w:ascii="Garamond" w:eastAsiaTheme="minorHAnsi" w:hAnsi="Garamond"/>
          <w:color w:val="000000"/>
          <w:sz w:val="24"/>
          <w:szCs w:val="24"/>
          <w:lang w:val="sq-AL"/>
          <w14:ligatures w14:val="standardContextual"/>
        </w:rPr>
        <w:t>Më 6 n</w:t>
      </w:r>
      <w:r w:rsidRPr="005D60D9">
        <w:rPr>
          <w:rFonts w:ascii="Garamond" w:eastAsiaTheme="minorHAnsi" w:hAnsi="Garamond"/>
          <w:color w:val="000000"/>
          <w:sz w:val="24"/>
          <w:szCs w:val="24"/>
          <w:lang w:val="sq-AL"/>
          <w14:ligatures w14:val="standardContextual"/>
        </w:rPr>
        <w:t>ëntor 2013, kërkuesja u vetëdor</w:t>
      </w:r>
      <w:r w:rsidR="00845F39">
        <w:rPr>
          <w:rFonts w:ascii="Garamond" w:eastAsiaTheme="minorHAnsi" w:hAnsi="Garamond"/>
          <w:color w:val="000000"/>
          <w:sz w:val="24"/>
          <w:szCs w:val="24"/>
          <w:lang w:val="sq-AL"/>
          <w14:ligatures w14:val="standardContextual"/>
        </w:rPr>
        <w:t>ëzua tek autoritetet, dhe më 9 n</w:t>
      </w:r>
      <w:r w:rsidRPr="005D60D9">
        <w:rPr>
          <w:rFonts w:ascii="Garamond" w:eastAsiaTheme="minorHAnsi" w:hAnsi="Garamond"/>
          <w:color w:val="000000"/>
          <w:sz w:val="24"/>
          <w:szCs w:val="24"/>
          <w:lang w:val="sq-AL"/>
          <w14:ligatures w14:val="standardContextual"/>
        </w:rPr>
        <w:t xml:space="preserve">ëntor 2013, pas një seance tjetër gjyqësore gjatë së cilës ajo ishte e pranishme, Gjykata e Rrethit Tiranë konfirmoi se përmbusheshin kushtet për paraburgimin e kërkueses. Dosja e çështjes nuk përmban procesverbalin e kësaj seance. </w:t>
      </w:r>
    </w:p>
    <w:p w14:paraId="1D194E2C"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Përveç kërkueses, dyshohej se në zhvillimet e përmendura më sipër ishin përfshirë edhe një sërë individësh të tjerë që kishin vepruar privatisht – si edhe katër zyrtarë të tjerë nga Drejtoria Rajonale e Tatimeve Tiranë, në cilësinë e pozicionit të tyre zyrtar.</w:t>
      </w:r>
    </w:p>
    <w:p w14:paraId="1D194E2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2.</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Vendimi i Gjykatës së Apelit Tiranë</w:t>
      </w:r>
    </w:p>
    <w:p w14:paraId="1D194E2E" w14:textId="72F0AC3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15 </w:t>
      </w:r>
      <w:r w:rsidR="003F571F"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kërkuesja e apeloi vendimin e mësipërm pranë Gjykatës së Apelit Tiranë. Ajo pretendonte se paraburgimi i saj nuk ishte i justifikuar dhe argumentonte se fakti se ajo ishte vetëdorëzuar vullnetarisht në polici tregonte se nuk ekzistonte rreziku se ajo mund të arratisej; për më tepër, gjatë pesëmbëdhjetë viteve të fundit, ajo kishte punuar për autoritetet tatimore, ishte e martuar me një oficer policie dhe ishte nëna e dy fëmijëve të vegjël. </w:t>
      </w:r>
    </w:p>
    <w:p w14:paraId="1D194E2F"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Ajo shtonte se ajo nuk ishte në pozitën që të prekte provat pasi ishte pezulluar nga detyra, dhe se, në çdo eventualitet, dosjet konkrete të autoriteteve tatimore ishin sekuestruar nga Prokuroria e Rrethit Tiranë. </w:t>
      </w:r>
    </w:p>
    <w:p w14:paraId="1D194E30"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lastRenderedPageBreak/>
        <w:t>13.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fund, ajo argumentonte se masa e paraburgimit nuk ishte proporcionale me akuzat me të cilat po përballej ajo, dhe se gjendja e saj e keqe shëndetësore tregonte se një masë sigurie më pak e ashpër do të ishte më e përshtatshme. </w:t>
      </w:r>
    </w:p>
    <w:p w14:paraId="1D194E31" w14:textId="68A78F8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27 </w:t>
      </w:r>
      <w:r w:rsidR="00DA3C37"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Gjykata e Apelit Tiranë la në fuqi vendimin e gjykatës së shkallës më të ulët. Gjykata u mbështet kryesisht në të njëjtin arsyetim bërë nga Gjykata e Rrethit Tiranë në lidhje me dyshimin se kërkuesja kishte kryer një vepër penale; megjithatë, ajo nuk iu referua faktit se kërkuesja paraqiste rrezikun për t’u arratisur. Megjithatë, ajo gjykonte si më poshtë: </w:t>
      </w:r>
    </w:p>
    <w:p w14:paraId="1D194E32"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“Në çështjen konkrete, Gjykata e Apelit…, me qëllim zgjedhjen e masës së duhur të sigurisë e cila do të garantonte … sigurinë për sa i përket faktit se e dyshuara mund të kryejë të njëjtën vepër penale apo një vepër tjetër më të rëndë, mban në konsideratë sa më poshtë: </w:t>
      </w:r>
    </w:p>
    <w:p w14:paraId="1D194E33" w14:textId="757541E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aktet atribuar të dyshuarës konsiderohen të jenë të rënda, referuar dënimit parashikuar në </w:t>
      </w:r>
      <w:r w:rsidR="00943CF0"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248 të Kodit Penal</w:t>
      </w:r>
      <w:r w:rsidR="00E431EB">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w:t>
      </w:r>
    </w:p>
    <w:p w14:paraId="1D194E34" w14:textId="2DB4D4A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vepra penale në fjalë përbën një rrezik të caktuar ndaj shoqërisë</w:t>
      </w:r>
      <w:r w:rsidR="00E431EB">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w:t>
      </w:r>
    </w:p>
    <w:p w14:paraId="1D194E35" w14:textId="37078D1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e dyshuara përbën rrezik për shoqërinë, duke pasur në konsideratë rrethanat e kryerjes së veprës për të cilën ajo dyshohet, [dhe] faktin se veprimet janë kryer në emër të institucionit përgjegjës për kontrollet [tatimore] dhe kanë shkaktuar një dëm të konsiderueshëm ekonomik ndaj interesave të </w:t>
      </w:r>
      <w:r w:rsidR="00940353" w:rsidRPr="005D60D9">
        <w:rPr>
          <w:rFonts w:ascii="Garamond" w:eastAsiaTheme="minorHAnsi" w:hAnsi="Garamond"/>
          <w:color w:val="000000"/>
          <w:sz w:val="24"/>
          <w:szCs w:val="24"/>
          <w:lang w:val="sq-AL"/>
          <w14:ligatures w14:val="standardContextual"/>
        </w:rPr>
        <w:t>shtetit</w:t>
      </w:r>
      <w:r w:rsidRPr="005D60D9">
        <w:rPr>
          <w:rFonts w:ascii="Garamond" w:eastAsiaTheme="minorHAnsi" w:hAnsi="Garamond"/>
          <w:color w:val="000000"/>
          <w:sz w:val="24"/>
          <w:szCs w:val="24"/>
          <w:lang w:val="sq-AL"/>
          <w14:ligatures w14:val="standardContextual"/>
        </w:rPr>
        <w:t>…</w:t>
      </w:r>
    </w:p>
    <w:p w14:paraId="1D194E36" w14:textId="0DAE6FC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Referuar rrethanave, në kundërshtim me atë çfarë pretendohet në ankesën e personit nën hetim, nevojat e sigurisë për çështjen konkrete mund të garantohen vetëm me anë të masës së sigurisë “me burgim”, dhe se çdo masë tjetër është gjykuar me të drejtë si e papërshtatshme.”</w:t>
      </w:r>
      <w:r w:rsidR="003046E6">
        <w:rPr>
          <w:rFonts w:ascii="Garamond" w:eastAsiaTheme="minorHAnsi" w:hAnsi="Garamond"/>
          <w:color w:val="000000"/>
          <w:sz w:val="24"/>
          <w:szCs w:val="24"/>
          <w:lang w:val="sq-AL"/>
          <w14:ligatures w14:val="standardContextual"/>
        </w:rPr>
        <w:t>.</w:t>
      </w:r>
    </w:p>
    <w:p w14:paraId="1D194E37"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3.</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Gjykata e Lartë</w:t>
      </w:r>
    </w:p>
    <w:p w14:paraId="1D194E38" w14:textId="6BAADC9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3 </w:t>
      </w:r>
      <w:r w:rsidR="003046E6" w:rsidRPr="005D60D9">
        <w:rPr>
          <w:rFonts w:ascii="Garamond" w:eastAsiaTheme="minorHAnsi" w:hAnsi="Garamond"/>
          <w:color w:val="000000"/>
          <w:sz w:val="24"/>
          <w:szCs w:val="24"/>
          <w:lang w:val="sq-AL"/>
          <w14:ligatures w14:val="standardContextual"/>
        </w:rPr>
        <w:t xml:space="preserve">dhjetor </w:t>
      </w:r>
      <w:r w:rsidRPr="005D60D9">
        <w:rPr>
          <w:rFonts w:ascii="Garamond" w:eastAsiaTheme="minorHAnsi" w:hAnsi="Garamond"/>
          <w:color w:val="000000"/>
          <w:sz w:val="24"/>
          <w:szCs w:val="24"/>
          <w:lang w:val="sq-AL"/>
          <w14:ligatures w14:val="standardContextual"/>
        </w:rPr>
        <w:t>2013, kërkuesja paraqiti një rekurs në kasacion (në Gjykatën e Lartë)</w:t>
      </w:r>
      <w:r w:rsidR="003046E6">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kryesisht duke iu referuar argumenteve të saj të mëparshëm (shih paragrafët 11</w:t>
      </w:r>
      <w:r w:rsidR="003046E6">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13 më sipër). </w:t>
      </w:r>
    </w:p>
    <w:p w14:paraId="1D194E39" w14:textId="2358B699"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19 </w:t>
      </w:r>
      <w:r w:rsidR="003046E6" w:rsidRPr="005D60D9">
        <w:rPr>
          <w:rFonts w:ascii="Garamond" w:eastAsiaTheme="minorHAnsi" w:hAnsi="Garamond"/>
          <w:color w:val="000000"/>
          <w:sz w:val="24"/>
          <w:szCs w:val="24"/>
          <w:lang w:val="sq-AL"/>
          <w14:ligatures w14:val="standardContextual"/>
        </w:rPr>
        <w:t xml:space="preserve">dhjetor </w:t>
      </w:r>
      <w:r w:rsidRPr="005D60D9">
        <w:rPr>
          <w:rFonts w:ascii="Garamond" w:eastAsiaTheme="minorHAnsi" w:hAnsi="Garamond"/>
          <w:color w:val="000000"/>
          <w:sz w:val="24"/>
          <w:szCs w:val="24"/>
          <w:lang w:val="sq-AL"/>
          <w14:ligatures w14:val="standardContextual"/>
        </w:rPr>
        <w:t xml:space="preserve">2013, Gjykata e Lartë e pushoi rekursin e kasacionit të kërkueses me katër vota pro dhe një kundër me anë të një vendimi </w:t>
      </w:r>
      <w:r w:rsidRPr="005D60D9">
        <w:rPr>
          <w:rFonts w:ascii="Garamond" w:eastAsiaTheme="minorHAnsi" w:hAnsi="Garamond"/>
          <w:i/>
          <w:iCs/>
          <w:color w:val="000000"/>
          <w:sz w:val="24"/>
          <w:szCs w:val="24"/>
          <w:lang w:val="sq-AL"/>
          <w14:ligatures w14:val="standardContextual"/>
        </w:rPr>
        <w:t>de plano</w:t>
      </w:r>
      <w:r w:rsidRPr="005D60D9">
        <w:rPr>
          <w:rFonts w:ascii="Garamond" w:eastAsiaTheme="minorHAnsi" w:hAnsi="Garamond"/>
          <w:color w:val="000000"/>
          <w:sz w:val="24"/>
          <w:szCs w:val="24"/>
          <w:lang w:val="sq-AL"/>
          <w14:ligatures w14:val="standardContextual"/>
        </w:rPr>
        <w:t xml:space="preserve">, sipas së cilit gjykohej se pretendimet e kërkueses nuk i përkisnin juridiksionit të Gjykatës së Lartë. </w:t>
      </w:r>
    </w:p>
    <w:p w14:paraId="1D194E3A"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4.</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 xml:space="preserve">Gjykata Kushtetuese </w:t>
      </w:r>
    </w:p>
    <w:p w14:paraId="1D194E3B" w14:textId="58157E0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14 </w:t>
      </w:r>
      <w:r w:rsidR="00912C12" w:rsidRPr="005D60D9">
        <w:rPr>
          <w:rFonts w:ascii="Garamond" w:eastAsiaTheme="minorHAnsi" w:hAnsi="Garamond"/>
          <w:color w:val="000000"/>
          <w:sz w:val="24"/>
          <w:szCs w:val="24"/>
          <w:lang w:val="sq-AL"/>
          <w14:ligatures w14:val="standardContextual"/>
        </w:rPr>
        <w:t xml:space="preserve">shtator </w:t>
      </w:r>
      <w:r w:rsidRPr="005D60D9">
        <w:rPr>
          <w:rFonts w:ascii="Garamond" w:eastAsiaTheme="minorHAnsi" w:hAnsi="Garamond"/>
          <w:color w:val="000000"/>
          <w:sz w:val="24"/>
          <w:szCs w:val="24"/>
          <w:lang w:val="sq-AL"/>
          <w14:ligatures w14:val="standardContextual"/>
        </w:rPr>
        <w:t xml:space="preserve">2015, kërkuesja paraqiti një apelim kushtetues pranë Gjykatës Kushtetuese, me anë të së cilit, për sa ka të bëjë me çështjen konkrete, ajo u mbështet në mënyrë të drejtpërdrejtë në </w:t>
      </w:r>
      <w:r w:rsidR="00912C12"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5 të Konventës, dhe përsërit argumentet e saj të mëparshëm (shih paragrafët 11</w:t>
      </w:r>
      <w:r w:rsidR="00912C12">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13 më sipër). </w:t>
      </w:r>
    </w:p>
    <w:p w14:paraId="1D194E3C" w14:textId="2B8DCE5E"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24 </w:t>
      </w:r>
      <w:r w:rsidR="00912C12"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2016, Gjykata Kushtetuese, me pesë vota pro dhe tre kundër, e rrëzoi ankesën e kërkueses si të papranueshme me arsyetimin se i mungonin argumentet, pasi masa me burgim ndaj saj tashmë ishte zëvendësuar me masën arrest shtëpie në datën 19 </w:t>
      </w:r>
      <w:r w:rsidR="00912C12"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2014 (shih paragrafin 22 më poshtë).</w:t>
      </w:r>
      <w:r w:rsid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thekson se kërkuesja nuk kishte interes që të kundërshtonte një masë sigurie të zëvendësuar me një masë tjetër. </w:t>
      </w:r>
    </w:p>
    <w:p w14:paraId="1D194E3D" w14:textId="1B0B040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Një gjyqtar bashkëlidhi një opinion kundërshtues, me anë të së cilit pohonte, midis argumentesh të tjerë, se individët duhet të lejohen të kundërshtojnë kushtetueshmërinë e privimit të tyre të lirisë, edhe nëse, në kohën kur shqyrtohet ky qëndrim kundërshtues, masa e arrestit me burg ndaj tyre mund të jetë zëvendësuar nga një masë më e butë. Ai argumentonte se një individ i mbajtur në burgim në një shkelje të mundshme të Kushtetutës do të vuante paragjykim të konsiderueshëm, që nuk do të reduktohej apo kompensohej me anë të një revokimi të mëpasshëm të asaj mase ndalimi. Së fundmi, duke cituar precedentë të ndryshëm (shih paragrafët 39</w:t>
      </w:r>
      <w:r w:rsidR="002E76F0">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41 më poshtë), gjyqtari me anë të opinionit të tij kundërshtues shtonte se Gjykata Kushtetuese, me anë të vendimit për të rrëzuar ankimin, ndahej pa ndonjë arsye të mirë nga praktika gjyqësore e konsoliduar e asaj gjykate. Për këto arsye, ai arrinte në përfundimin se gjykata duhej ta kishte shqyrtuar me Kushtetutën pajtueshmërinë e privimit të kërkueses nga liria, më së shumti për shkak të problematikave </w:t>
      </w:r>
      <w:r w:rsidRPr="005D60D9">
        <w:rPr>
          <w:rFonts w:ascii="Garamond" w:eastAsiaTheme="minorHAnsi" w:hAnsi="Garamond"/>
          <w:i/>
          <w:iCs/>
          <w:color w:val="000000"/>
          <w:sz w:val="24"/>
          <w:szCs w:val="24"/>
          <w:lang w:val="sq-AL"/>
          <w14:ligatures w14:val="standardContextual"/>
        </w:rPr>
        <w:t>prima facie</w:t>
      </w:r>
      <w:r w:rsidRPr="005D60D9">
        <w:rPr>
          <w:rFonts w:ascii="Garamond" w:eastAsiaTheme="minorHAnsi" w:hAnsi="Garamond"/>
          <w:color w:val="000000"/>
          <w:sz w:val="24"/>
          <w:szCs w:val="24"/>
          <w:lang w:val="sq-AL"/>
          <w14:ligatures w14:val="standardContextual"/>
        </w:rPr>
        <w:t xml:space="preserve"> që shpalosi çështja.</w:t>
      </w:r>
      <w:r w:rsidR="005D60D9">
        <w:rPr>
          <w:rFonts w:ascii="Garamond" w:eastAsiaTheme="minorHAnsi" w:hAnsi="Garamond"/>
          <w:color w:val="000000"/>
          <w:sz w:val="24"/>
          <w:szCs w:val="24"/>
          <w:lang w:val="sq-AL"/>
          <w14:ligatures w14:val="standardContextual"/>
        </w:rPr>
        <w:t xml:space="preserve"> </w:t>
      </w:r>
    </w:p>
    <w:p w14:paraId="1D194E3E"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B.</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Periudhat e mëpasshme </w:t>
      </w:r>
    </w:p>
    <w:p w14:paraId="1D194E3F" w14:textId="2BA916C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Sakaq, në datën 6 </w:t>
      </w:r>
      <w:r w:rsidR="00657032"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2014, kërkuesja paraqiti një kërkesë </w:t>
      </w:r>
      <w:r w:rsidRPr="005D60D9">
        <w:rPr>
          <w:rFonts w:ascii="Garamond" w:eastAsiaTheme="minorHAnsi" w:hAnsi="Garamond"/>
          <w:i/>
          <w:iCs/>
          <w:color w:val="000000"/>
          <w:sz w:val="24"/>
          <w:szCs w:val="24"/>
          <w:lang w:val="sq-AL"/>
          <w14:ligatures w14:val="standardContextual"/>
        </w:rPr>
        <w:t>habeas corpus</w:t>
      </w:r>
      <w:r w:rsidR="005B5E5C">
        <w:rPr>
          <w:rFonts w:ascii="Garamond" w:eastAsiaTheme="minorHAnsi" w:hAnsi="Garamond"/>
          <w:i/>
          <w:iCs/>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me anë të së cilës kërkonte që Gjykata e Rrethit Tiranë ta zëvendësonte arrestin e saj me burg me një masë sigurie më të lehtë. Më 11 </w:t>
      </w:r>
      <w:r w:rsidR="007415AE"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2014, Gjykata e Rrethit Tiranë e rrëzoi kërkesën. </w:t>
      </w:r>
    </w:p>
    <w:p w14:paraId="1D194E40" w14:textId="65A80C5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lastRenderedPageBreak/>
        <w:t>21.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24 </w:t>
      </w:r>
      <w:r w:rsidR="007415AE"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2014, kërkuesja paraqiti një tjetër kërkesë </w:t>
      </w:r>
      <w:r w:rsidRPr="005D60D9">
        <w:rPr>
          <w:rFonts w:ascii="Garamond" w:eastAsiaTheme="minorHAnsi" w:hAnsi="Garamond"/>
          <w:i/>
          <w:iCs/>
          <w:color w:val="000000"/>
          <w:sz w:val="24"/>
          <w:szCs w:val="24"/>
          <w:lang w:val="sq-AL"/>
          <w14:ligatures w14:val="standardContextual"/>
        </w:rPr>
        <w:t>habeas corpus</w:t>
      </w:r>
      <w:r w:rsidRPr="005D60D9">
        <w:rPr>
          <w:rFonts w:ascii="Garamond" w:eastAsiaTheme="minorHAnsi" w:hAnsi="Garamond"/>
          <w:color w:val="000000"/>
          <w:sz w:val="24"/>
          <w:szCs w:val="24"/>
          <w:lang w:val="sq-AL"/>
          <w14:ligatures w14:val="standardContextual"/>
        </w:rPr>
        <w:t xml:space="preserve">. Më 13 </w:t>
      </w:r>
      <w:r w:rsidR="00895D1F" w:rsidRPr="005D60D9">
        <w:rPr>
          <w:rFonts w:ascii="Garamond" w:eastAsiaTheme="minorHAnsi" w:hAnsi="Garamond"/>
          <w:color w:val="000000"/>
          <w:sz w:val="24"/>
          <w:szCs w:val="24"/>
          <w:lang w:val="sq-AL"/>
          <w14:ligatures w14:val="standardContextual"/>
        </w:rPr>
        <w:t xml:space="preserve">maj </w:t>
      </w:r>
      <w:r w:rsidRPr="005D60D9">
        <w:rPr>
          <w:rFonts w:ascii="Garamond" w:eastAsiaTheme="minorHAnsi" w:hAnsi="Garamond"/>
          <w:color w:val="000000"/>
          <w:sz w:val="24"/>
          <w:szCs w:val="24"/>
          <w:lang w:val="sq-AL"/>
          <w14:ligatures w14:val="standardContextual"/>
        </w:rPr>
        <w:t xml:space="preserve">2014, trupa gjykuese e Gjykatës së Rrethit Tiranë konstatoi se faza hetimore e procesit gjyqësor kishte përfunduar më 8 </w:t>
      </w:r>
      <w:r w:rsidR="005619EE" w:rsidRPr="005D60D9">
        <w:rPr>
          <w:rFonts w:ascii="Garamond" w:eastAsiaTheme="minorHAnsi" w:hAnsi="Garamond"/>
          <w:color w:val="000000"/>
          <w:sz w:val="24"/>
          <w:szCs w:val="24"/>
          <w:lang w:val="sq-AL"/>
          <w14:ligatures w14:val="standardContextual"/>
        </w:rPr>
        <w:t xml:space="preserve">maj </w:t>
      </w:r>
      <w:r w:rsidRPr="005D60D9">
        <w:rPr>
          <w:rFonts w:ascii="Garamond" w:eastAsiaTheme="minorHAnsi" w:hAnsi="Garamond"/>
          <w:color w:val="000000"/>
          <w:sz w:val="24"/>
          <w:szCs w:val="24"/>
          <w:lang w:val="sq-AL"/>
          <w14:ligatures w14:val="standardContextual"/>
        </w:rPr>
        <w:t xml:space="preserve">2014, kur prokurori kishte kërkuar gjykimin e kërkueses. Gjykata arriti në përfundimin se kërkesa </w:t>
      </w:r>
      <w:r w:rsidRPr="005D60D9">
        <w:rPr>
          <w:rFonts w:ascii="Garamond" w:eastAsiaTheme="minorHAnsi" w:hAnsi="Garamond"/>
          <w:i/>
          <w:iCs/>
          <w:color w:val="000000"/>
          <w:sz w:val="24"/>
          <w:szCs w:val="24"/>
          <w:lang w:val="sq-AL"/>
          <w14:ligatures w14:val="standardContextual"/>
        </w:rPr>
        <w:t>habeas corpus</w:t>
      </w:r>
      <w:r w:rsidRPr="005D60D9">
        <w:rPr>
          <w:rFonts w:ascii="Garamond" w:eastAsiaTheme="minorHAnsi" w:hAnsi="Garamond"/>
          <w:color w:val="000000"/>
          <w:sz w:val="24"/>
          <w:szCs w:val="24"/>
          <w:lang w:val="sq-AL"/>
          <w14:ligatures w14:val="standardContextual"/>
        </w:rPr>
        <w:t xml:space="preserve"> e kërkueses, do të duhej të shqyrtohej nga trupa gjykuese e Gjykatës së Rrethit përpara së cilës ishte pezull shqyrtimi i çështjes penale për meritat; në vijim ajo e përcolli kërkesën në përputhje me rrethanat. </w:t>
      </w:r>
    </w:p>
    <w:p w14:paraId="1D194E41" w14:textId="13DD4E6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19 </w:t>
      </w:r>
      <w:r w:rsidR="0092057B"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2014, Gjykata e Rrethit Tiranë e pranoi kërkesën dhe urdhëroi që kërkuesja të kalonte në arrest shtëpie nën mbikëqyrje elektronike. </w:t>
      </w:r>
    </w:p>
    <w:p w14:paraId="1D194E42"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VENDIME MBI MERITAT E AKUZËS PENALE</w:t>
      </w:r>
    </w:p>
    <w:p w14:paraId="1D194E43" w14:textId="674A46D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8 </w:t>
      </w:r>
      <w:r w:rsidR="0092057B" w:rsidRPr="005D60D9">
        <w:rPr>
          <w:rFonts w:ascii="Garamond" w:eastAsiaTheme="minorHAnsi" w:hAnsi="Garamond"/>
          <w:color w:val="000000"/>
          <w:sz w:val="24"/>
          <w:szCs w:val="24"/>
          <w:lang w:val="sq-AL"/>
          <w14:ligatures w14:val="standardContextual"/>
        </w:rPr>
        <w:t xml:space="preserve">tetor </w:t>
      </w:r>
      <w:r w:rsidRPr="005D60D9">
        <w:rPr>
          <w:rFonts w:ascii="Garamond" w:eastAsiaTheme="minorHAnsi" w:hAnsi="Garamond"/>
          <w:color w:val="000000"/>
          <w:sz w:val="24"/>
          <w:szCs w:val="24"/>
          <w:lang w:val="sq-AL"/>
          <w14:ligatures w14:val="standardContextual"/>
        </w:rPr>
        <w:t xml:space="preserve">2014, Gjykata e Rrethit Tiranë e shpalli kërkuesen fajtore për shpërdorim të detyrës kryer në bashkëpunim me persona të tjerë, në kundërshtim me </w:t>
      </w:r>
      <w:r w:rsidR="00B96B14" w:rsidRPr="005D60D9">
        <w:rPr>
          <w:rFonts w:ascii="Garamond" w:eastAsiaTheme="minorHAnsi" w:hAnsi="Garamond"/>
          <w:color w:val="000000"/>
          <w:sz w:val="24"/>
          <w:szCs w:val="24"/>
          <w:lang w:val="sq-AL"/>
          <w14:ligatures w14:val="standardContextual"/>
        </w:rPr>
        <w:t xml:space="preserve">nenet </w:t>
      </w:r>
      <w:r w:rsidRPr="005D60D9">
        <w:rPr>
          <w:rFonts w:ascii="Garamond" w:eastAsiaTheme="minorHAnsi" w:hAnsi="Garamond"/>
          <w:color w:val="000000"/>
          <w:sz w:val="24"/>
          <w:szCs w:val="24"/>
          <w:lang w:val="sq-AL"/>
          <w14:ligatures w14:val="standardContextual"/>
        </w:rPr>
        <w:t xml:space="preserve">25 dhe 135 të Kodit Penal. Ajo e dënoi kërkuesen me pesë vite burgim. </w:t>
      </w:r>
    </w:p>
    <w:p w14:paraId="1D194E44" w14:textId="2717F03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Më 8 </w:t>
      </w:r>
      <w:r w:rsidR="00B96B14"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2015, Gjykata e Apelit Tiranë la në fuqi vendimin e gjykatës më të ulët; megjithatë ajo urdhëroi që ekzekutimi i vendimit të pezullohej me kushtin që kërkuesja të mos kryente ndonjë vepër tjetër për pesë vjet. Për këtë arsye, kërkuesja u la e lirë. </w:t>
      </w:r>
    </w:p>
    <w:p w14:paraId="1D194E45" w14:textId="5AA112D4"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Pas vendimit të Gjykatës së Lartë për të hequr pezullimin e dënimit për kërkuesen, dhe një vendimi të mëpasshëm dhënë nga Gjykata Kushtetuese që e dërgonte çështjen për rigjykim, më 19 </w:t>
      </w:r>
      <w:r w:rsidR="00B96B14"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2018, Gjykata e Lartë la në fuqi </w:t>
      </w:r>
      <w:r w:rsidR="00B96B14" w:rsidRPr="005D60D9">
        <w:rPr>
          <w:rFonts w:ascii="Garamond" w:eastAsiaTheme="minorHAnsi" w:hAnsi="Garamond"/>
          <w:color w:val="000000"/>
          <w:sz w:val="24"/>
          <w:szCs w:val="24"/>
          <w:lang w:val="sq-AL"/>
          <w14:ligatures w14:val="standardContextual"/>
        </w:rPr>
        <w:t xml:space="preserve">vendimin </w:t>
      </w:r>
      <w:r w:rsidRPr="005D60D9">
        <w:rPr>
          <w:rFonts w:ascii="Garamond" w:eastAsiaTheme="minorHAnsi" w:hAnsi="Garamond"/>
          <w:color w:val="000000"/>
          <w:sz w:val="24"/>
          <w:szCs w:val="24"/>
          <w:lang w:val="sq-AL"/>
          <w14:ligatures w14:val="standardContextual"/>
        </w:rPr>
        <w:t xml:space="preserve">e Gjykatës së Apelit Tiranë të datës 8 </w:t>
      </w:r>
      <w:r w:rsidR="00B96B14"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2015. </w:t>
      </w:r>
    </w:p>
    <w:p w14:paraId="1D194E46"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KUADRI LIGJOR DHE PRAKTIKA LIGJORE PËRKATËSE</w:t>
      </w:r>
    </w:p>
    <w:p w14:paraId="1D194E47" w14:textId="194A602E"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LIGJI </w:t>
      </w:r>
      <w:r w:rsidR="00883338">
        <w:rPr>
          <w:rFonts w:ascii="Garamond" w:eastAsiaTheme="minorHAnsi" w:hAnsi="Garamond"/>
          <w:color w:val="000000"/>
          <w:sz w:val="24"/>
          <w:szCs w:val="24"/>
          <w:lang w:val="sq-AL"/>
          <w14:ligatures w14:val="standardContextual"/>
        </w:rPr>
        <w:t>VENDËS</w:t>
      </w:r>
    </w:p>
    <w:p w14:paraId="1D194E48"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A.</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Kushtetuta </w:t>
      </w:r>
    </w:p>
    <w:p w14:paraId="1D194E49" w14:textId="73A017E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Pjesët përkatëse të </w:t>
      </w:r>
      <w:r w:rsidR="00B96B14" w:rsidRPr="005D60D9">
        <w:rPr>
          <w:rFonts w:ascii="Garamond" w:eastAsiaTheme="minorHAnsi" w:hAnsi="Garamond"/>
          <w:color w:val="000000"/>
          <w:sz w:val="24"/>
          <w:szCs w:val="24"/>
          <w:lang w:val="sq-AL"/>
          <w14:ligatures w14:val="standardContextual"/>
        </w:rPr>
        <w:t xml:space="preserve">neneve </w:t>
      </w:r>
      <w:r w:rsidRPr="005D60D9">
        <w:rPr>
          <w:rFonts w:ascii="Garamond" w:eastAsiaTheme="minorHAnsi" w:hAnsi="Garamond"/>
          <w:color w:val="000000"/>
          <w:sz w:val="24"/>
          <w:szCs w:val="24"/>
          <w:lang w:val="sq-AL"/>
          <w14:ligatures w14:val="standardContextual"/>
        </w:rPr>
        <w:t>27 dhe 28 të Kushtetutës parashikojnë</w:t>
      </w:r>
      <w:r w:rsidR="00B96B14">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si më poshtë: </w:t>
      </w:r>
    </w:p>
    <w:p w14:paraId="1D194E4A"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p>
    <w:p w14:paraId="1D194E4B"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bCs/>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r w:rsidRPr="005D60D9">
        <w:rPr>
          <w:rFonts w:ascii="Garamond" w:eastAsiaTheme="minorHAnsi" w:hAnsi="Garamond"/>
          <w:bCs/>
          <w:color w:val="000000"/>
          <w:sz w:val="24"/>
          <w:szCs w:val="24"/>
          <w:lang w:val="sq-AL"/>
          <w14:ligatures w14:val="standardContextual"/>
        </w:rPr>
        <w:t>Neni 27</w:t>
      </w:r>
    </w:p>
    <w:p w14:paraId="1D194E4C" w14:textId="77777777" w:rsidR="007A3B61" w:rsidRPr="005D60D9" w:rsidRDefault="007A3B61" w:rsidP="007202A0">
      <w:pPr>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p>
    <w:p w14:paraId="1D194E4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1. Askujt nuk mund t’i hiqet liria, përveçse në rastet dhe sipas procedurave të parashikuara me ligj. </w:t>
      </w:r>
    </w:p>
    <w:p w14:paraId="1D194E4E"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2. Liria e personit nuk mund të kufizohet, përveçse në rastet e mëposhtme: </w:t>
      </w:r>
    </w:p>
    <w:p w14:paraId="1D194E4F"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p>
    <w:p w14:paraId="1D194E50"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c) kur ka dyshime të arsyeshme se ka kryer një vepër penale ose për të parandaluar kryerjen prej tij të veprës penale ose largimin e tij pas kryerjes së saj; </w:t>
      </w:r>
    </w:p>
    <w:p w14:paraId="1D194E51"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p>
    <w:p w14:paraId="1D194E52"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p>
    <w:p w14:paraId="1D194E53" w14:textId="77777777" w:rsidR="007202A0" w:rsidRPr="005D60D9" w:rsidRDefault="007202A0"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5D60D9">
        <w:rPr>
          <w:rFonts w:ascii="Garamond" w:eastAsiaTheme="minorHAnsi" w:hAnsi="Garamond"/>
          <w:bCs/>
          <w:color w:val="000000"/>
          <w:sz w:val="24"/>
          <w:szCs w:val="24"/>
          <w:lang w:val="sq-AL"/>
          <w14:ligatures w14:val="standardContextual"/>
        </w:rPr>
        <w:t>Neni 28</w:t>
      </w:r>
      <w:r w:rsidRPr="005D60D9">
        <w:rPr>
          <w:rFonts w:ascii="Garamond" w:eastAsiaTheme="minorHAnsi" w:hAnsi="Garamond"/>
          <w:color w:val="000000"/>
          <w:sz w:val="24"/>
          <w:szCs w:val="24"/>
          <w:lang w:val="sq-AL"/>
          <w14:ligatures w14:val="standardContextual"/>
        </w:rPr>
        <w:t xml:space="preserve"> </w:t>
      </w:r>
    </w:p>
    <w:p w14:paraId="1D194E54" w14:textId="77777777" w:rsidR="007A3B61" w:rsidRPr="005D60D9" w:rsidRDefault="007A3B61" w:rsidP="007202A0">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1D194E55"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Kushdo, të cilit i hiqet liria, ka të drejtë të njoftohet menjëherë në gjuhën që ai kupton, për shkaqet e kësaj mase, si dhe për akuzën që i bëhet. Personi, të cilit i është hequr liria, duhet të njoftohet se nuk ka asnjë detyrim të bëjë ndonjë deklaratë dhe ka të drejtë të komunikojë menjëherë me avokatin, si dhe t’i jepet mundësia për realizimin e të drejtave të tij. </w:t>
      </w:r>
    </w:p>
    <w:p w14:paraId="1D194E56"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2. Personi, të cilit i është hequr liria sipas nenit 27, paragrafi 2, nënparagrafi “c”, duhet të dërgohet brenda 48 orëve përpara gjyqtarit, i cili vendos paraburgimin ose lirimin e tij jo më vonë se 48 orë nga çasti i marrjes së dokumenteve për shqyrtim. </w:t>
      </w:r>
    </w:p>
    <w:p w14:paraId="1D194E57"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3. I paraburgosuri ka të drejtë të ankohet kundër vendimit të gjyqtarit. Ai ka të drejtë të gjykohet brenda një afati të arsyeshëm ose të procedohet i lirë përkundrejt një garancie pasurore sipas ligjit. </w:t>
      </w:r>
    </w:p>
    <w:p w14:paraId="1D194E58"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4. Në të gjitha rastet e tjera, personi, të cilit i hiqet liria në rrugë jashtëgjyqësore, mund t’i drejtohet në çdo kohë gjyqtarit, i cili vendos brenda 48 orëve për ligjshmërinë e kësaj mase. </w:t>
      </w:r>
    </w:p>
    <w:p w14:paraId="1D194E59"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 Çdo person, të cilit i është hequr liria sipas nenit 27, ka të drejtën e trajtimit njerëzor dhe të respektimit të dinjitetit të tij.”</w:t>
      </w:r>
    </w:p>
    <w:p w14:paraId="1D194E5A" w14:textId="61B6DB64"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Pjesa përkatëse e </w:t>
      </w:r>
      <w:r w:rsidR="00B96B14"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134 § 2 të Kushtetutës parashikon se individët mund të paraqesin një ankesë pranë Gjykatës Kushtetuese vetëm për çështjet që kanë lidhje me interesat e tyre. </w:t>
      </w:r>
    </w:p>
    <w:p w14:paraId="1D194E5B" w14:textId="29C54174"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lastRenderedPageBreak/>
        <w:t>B.</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Ligji për Gjykatën Kushtetuese (</w:t>
      </w:r>
      <w:r w:rsidR="00B96B14" w:rsidRPr="005D60D9">
        <w:rPr>
          <w:rFonts w:ascii="Garamond" w:eastAsiaTheme="minorHAnsi" w:hAnsi="Garamond"/>
          <w:b/>
          <w:bCs/>
          <w:color w:val="000000"/>
          <w:sz w:val="24"/>
          <w:szCs w:val="24"/>
          <w:lang w:val="sq-AL"/>
          <w14:ligatures w14:val="standardContextual"/>
        </w:rPr>
        <w:t xml:space="preserve">ligji </w:t>
      </w:r>
      <w:r w:rsidRPr="005D60D9">
        <w:rPr>
          <w:rFonts w:ascii="Garamond" w:eastAsiaTheme="minorHAnsi" w:hAnsi="Garamond"/>
          <w:b/>
          <w:bCs/>
          <w:color w:val="000000"/>
          <w:sz w:val="24"/>
          <w:szCs w:val="24"/>
          <w:lang w:val="sq-AL"/>
          <w14:ligatures w14:val="standardContextual"/>
        </w:rPr>
        <w:t xml:space="preserve">nr. 8577, i datës 10 </w:t>
      </w:r>
      <w:r w:rsidR="00B96B14" w:rsidRPr="005D60D9">
        <w:rPr>
          <w:rFonts w:ascii="Garamond" w:eastAsiaTheme="minorHAnsi" w:hAnsi="Garamond"/>
          <w:b/>
          <w:bCs/>
          <w:color w:val="000000"/>
          <w:sz w:val="24"/>
          <w:szCs w:val="24"/>
          <w:lang w:val="sq-AL"/>
          <w14:ligatures w14:val="standardContextual"/>
        </w:rPr>
        <w:t xml:space="preserve">shkurt </w:t>
      </w:r>
      <w:r w:rsidRPr="005D60D9">
        <w:rPr>
          <w:rFonts w:ascii="Garamond" w:eastAsiaTheme="minorHAnsi" w:hAnsi="Garamond"/>
          <w:b/>
          <w:bCs/>
          <w:color w:val="000000"/>
          <w:sz w:val="24"/>
          <w:szCs w:val="24"/>
          <w:lang w:val="sq-AL"/>
          <w14:ligatures w14:val="standardContextual"/>
        </w:rPr>
        <w:t xml:space="preserve">2000, </w:t>
      </w:r>
      <w:r w:rsidR="00B96B14">
        <w:rPr>
          <w:rFonts w:ascii="Garamond" w:eastAsiaTheme="minorHAnsi" w:hAnsi="Garamond"/>
          <w:b/>
          <w:bCs/>
          <w:color w:val="000000"/>
          <w:sz w:val="24"/>
          <w:szCs w:val="24"/>
          <w:lang w:val="sq-AL"/>
          <w14:ligatures w14:val="standardContextual"/>
        </w:rPr>
        <w:t>“</w:t>
      </w:r>
      <w:r w:rsidRPr="005D60D9">
        <w:rPr>
          <w:rFonts w:ascii="Garamond" w:eastAsiaTheme="minorHAnsi" w:hAnsi="Garamond"/>
          <w:b/>
          <w:bCs/>
          <w:color w:val="000000"/>
          <w:sz w:val="24"/>
          <w:szCs w:val="24"/>
          <w:lang w:val="sq-AL"/>
          <w14:ligatures w14:val="standardContextual"/>
        </w:rPr>
        <w:t xml:space="preserve">Për </w:t>
      </w:r>
      <w:r w:rsidR="00B96B14" w:rsidRPr="005D60D9">
        <w:rPr>
          <w:rFonts w:ascii="Garamond" w:eastAsiaTheme="minorHAnsi" w:hAnsi="Garamond"/>
          <w:b/>
          <w:bCs/>
          <w:color w:val="000000"/>
          <w:sz w:val="24"/>
          <w:szCs w:val="24"/>
          <w:lang w:val="sq-AL"/>
          <w14:ligatures w14:val="standardContextual"/>
        </w:rPr>
        <w:t xml:space="preserve">organizimin dhe funksionimin </w:t>
      </w:r>
      <w:r w:rsidRPr="005D60D9">
        <w:rPr>
          <w:rFonts w:ascii="Garamond" w:eastAsiaTheme="minorHAnsi" w:hAnsi="Garamond"/>
          <w:b/>
          <w:bCs/>
          <w:color w:val="000000"/>
          <w:sz w:val="24"/>
          <w:szCs w:val="24"/>
          <w:lang w:val="sq-AL"/>
          <w14:ligatures w14:val="standardContextual"/>
        </w:rPr>
        <w:t>e Gjykatës Kushtetuese të Republikës së Shqipërisë</w:t>
      </w:r>
      <w:r w:rsidR="00B96B14">
        <w:rPr>
          <w:rFonts w:ascii="Garamond" w:eastAsiaTheme="minorHAnsi" w:hAnsi="Garamond"/>
          <w:b/>
          <w:bCs/>
          <w:color w:val="000000"/>
          <w:sz w:val="24"/>
          <w:szCs w:val="24"/>
          <w:lang w:val="sq-AL"/>
          <w14:ligatures w14:val="standardContextual"/>
        </w:rPr>
        <w:t>”</w:t>
      </w:r>
      <w:r w:rsidRPr="005D60D9">
        <w:rPr>
          <w:rFonts w:ascii="Garamond" w:eastAsiaTheme="minorHAnsi" w:hAnsi="Garamond"/>
          <w:b/>
          <w:bCs/>
          <w:color w:val="000000"/>
          <w:sz w:val="24"/>
          <w:szCs w:val="24"/>
          <w:lang w:val="sq-AL"/>
          <w14:ligatures w14:val="standardContextual"/>
        </w:rPr>
        <w:t>)</w:t>
      </w:r>
    </w:p>
    <w:p w14:paraId="1D194E5C" w14:textId="7CBAA1B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Neni 30 i </w:t>
      </w:r>
      <w:r w:rsidR="004102C6" w:rsidRPr="005D60D9">
        <w:rPr>
          <w:rFonts w:ascii="Garamond" w:eastAsiaTheme="minorHAnsi" w:hAnsi="Garamond"/>
          <w:color w:val="000000"/>
          <w:sz w:val="24"/>
          <w:szCs w:val="24"/>
          <w:lang w:val="sq-AL"/>
          <w14:ligatures w14:val="standardContextual"/>
        </w:rPr>
        <w:t xml:space="preserve">ligjit </w:t>
      </w:r>
      <w:r w:rsidRPr="005D60D9">
        <w:rPr>
          <w:rFonts w:ascii="Garamond" w:eastAsiaTheme="minorHAnsi" w:hAnsi="Garamond"/>
          <w:color w:val="000000"/>
          <w:sz w:val="24"/>
          <w:szCs w:val="24"/>
          <w:lang w:val="sq-AL"/>
          <w14:ligatures w14:val="standardContextual"/>
        </w:rPr>
        <w:t xml:space="preserve">për Gjykatën Kushtetuese, në fuqi në periudhën konkrete, parashikonte se afati për dorëzimin e ankesave individuale në Gjykatën Kushtetuese ishte dy vjet. </w:t>
      </w:r>
    </w:p>
    <w:p w14:paraId="1D194E5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C.</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Kodi i Procedurës Penale (“KPP”)</w:t>
      </w:r>
      <w:r w:rsidRPr="005D60D9">
        <w:rPr>
          <w:rFonts w:ascii="Garamond" w:eastAsiaTheme="minorHAnsi" w:hAnsi="Garamond"/>
          <w:color w:val="000000"/>
          <w:sz w:val="24"/>
          <w:szCs w:val="24"/>
          <w:lang w:val="sq-AL"/>
          <w14:ligatures w14:val="standardContextual"/>
        </w:rPr>
        <w:t xml:space="preserve"> </w:t>
      </w:r>
    </w:p>
    <w:p w14:paraId="1D194E5E" w14:textId="0FDD210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29.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Sipas </w:t>
      </w:r>
      <w:r w:rsidR="00224432"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228 § 1 të KPP</w:t>
      </w:r>
      <w:r w:rsidR="00224432">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në fuqi në periudhën konkrete, një masë sigurimi personal do të vendosej nëse, sipas të dhënave, ekzistonte dyshimi i arsyeshëm se një i pandehur kishte kryer një krim. Sipas </w:t>
      </w:r>
      <w:r w:rsidR="00AF30C3"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228 § 2, nuk mund të vendoset asnjë masë sigurimi personal kur ka shkaqe sipas së cilave individi mund të mos dënohet, ose nëse vepra bëhet e pandjekshme penalisht. Sipas </w:t>
      </w:r>
      <w:r w:rsidR="007B0B7B"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228 § 3, masat e sigurimit vendosen</w:t>
      </w:r>
      <w:r w:rsidR="007B0B7B">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kur: a) ekzistojnë arsye të rëndësishme të cilat do të vinin në rrezik marrjen ose vërtetësinë e provës;</w:t>
      </w:r>
      <w:r w:rsidR="007B0B7B">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b) i pandehuri i është larguar ose ekziston rreziku që ai të largohet; c) ekziston rreziku që i pandehuri për shkak të rrethanave të faktit dhe personalitetit, mund të kryejë krime të rënda ose të të njëjtit lloj me atë për të cilin procedohet. </w:t>
      </w:r>
    </w:p>
    <w:p w14:paraId="1D194E5F" w14:textId="36F6A58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Sipas nenit 229 § 1 të KPP</w:t>
      </w:r>
      <w:r w:rsidR="007B0B7B">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për dhënien e masës së sigurimit personal, një gjykatë mban në konsideratë përshtatshmërinë e saj dhe masën e nevojshme të sigurisë, për çështjen konkrete. Sipas </w:t>
      </w:r>
      <w:r w:rsidR="00D43562"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229 § 2 të KPP</w:t>
      </w:r>
      <w:r w:rsidR="00D43562">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gjykata duhet të mbajë në konsideratë edhe rëndësinë e akteve që i atribuohen të dyshuarit, masën e dënimit të parashikuar, çdo tendencë të personit të dyshuar për të kryer përsëri një vepër penale (nëse ai ose ajo është dënuar për krime të mëparshme), dhe çdo rrethanë lehtësuese dhe rënduese. </w:t>
      </w:r>
    </w:p>
    <w:p w14:paraId="1D194E60" w14:textId="6732842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Neni 230 § 1 i KPP</w:t>
      </w:r>
      <w:r w:rsidR="00D43562">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parashikon se arresti me burg mund të vendoset nëse asnjë masë tjetër nuk është e përshtatshme për shkak të rrezikshmërisë së veçantë të veprës konkrete dhe të pandehurit. Neni 230 § 2 parashikon se arresti me burg nuk mund të vendoset ndaj një gruaje që është shtatzënë ose një gruaje që ushqen me gji, ndaj një personi që vuan nga një situatë veçanërisht e rëndë shëndetësore, si edhe në një sërë rastesh të tjera. </w:t>
      </w:r>
    </w:p>
    <w:p w14:paraId="1D194E61" w14:textId="4ED8340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Sipas </w:t>
      </w:r>
      <w:r w:rsidR="00EB5339"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232 të KPP</w:t>
      </w:r>
      <w:r w:rsidR="00EB5339">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një gjykatë mund të urdhërojë masat e mëposhtme kufizuese: ndalimi i daljes jashtë shtetit; detyrimi për t’u paraqitur në policinë gjyqësore; ndalimi dhe detyrimi për qëndrimin në një vend të caktuar; garancia pasurore</w:t>
      </w:r>
      <w:r w:rsidRPr="000D5B81">
        <w:rPr>
          <w:rFonts w:ascii="Garamond" w:eastAsiaTheme="minorHAnsi" w:hAnsi="Garamond"/>
          <w:color w:val="000000"/>
          <w:sz w:val="24"/>
          <w:szCs w:val="24"/>
          <w:lang w:val="sq-AL"/>
          <w14:ligatures w14:val="standardContextual"/>
        </w:rPr>
        <w:t>; d)</w:t>
      </w:r>
      <w:r w:rsidRPr="005D60D9">
        <w:rPr>
          <w:rFonts w:ascii="Garamond" w:eastAsiaTheme="minorHAnsi" w:hAnsi="Garamond"/>
          <w:color w:val="000000"/>
          <w:sz w:val="24"/>
          <w:szCs w:val="24"/>
          <w:lang w:val="sq-AL"/>
          <w14:ligatures w14:val="standardContextual"/>
        </w:rPr>
        <w:t xml:space="preserve"> arresti në shtëpi; arresti në burg; shtrimi i përkohshëm në një spital psikiatrik.</w:t>
      </w:r>
    </w:p>
    <w:p w14:paraId="1D194E62" w14:textId="5783386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Sipas </w:t>
      </w:r>
      <w:r w:rsidR="00EB5339"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240 të KPP</w:t>
      </w:r>
      <w:r w:rsidR="00EB5339">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një gjykatë mund të urdhërojë masat e mëposhtme ndaluese të sigurimit personal: pezullimi i ushtrimit të një detyre a shërbimi publik; ndalimi i përkohshëm i ushtrimit të veprimtarive të caktuara profesionale ose afariste. </w:t>
      </w:r>
    </w:p>
    <w:p w14:paraId="1D194E63" w14:textId="59779C0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Neni 268 § 2 i KPP</w:t>
      </w:r>
      <w:r w:rsidR="00BA1700">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parashikon se individët të cilët që kanë qenë të paraburgosur, kur me vendim të formës së prerë vërtetohet se akti me të cilin është caktuar masa është nxjerrë pa qenë kushtet e parashikuara nga nenet 228 dhe 229, kanë të drejtën të kompensohen për paraburgimin e vuajtur.</w:t>
      </w:r>
    </w:p>
    <w:p w14:paraId="1D194E64"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D.</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Kodi Penal </w:t>
      </w:r>
    </w:p>
    <w:p w14:paraId="1D194E65"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Neni 135 i Kodit Penal parashikon veprën e “vjedhjes së kryer duke shpërdoruar detyrën”.</w:t>
      </w:r>
    </w:p>
    <w:p w14:paraId="1D194E66"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Neni 248 i Kodit Penal parashikon veprën e “shpërdorimit të detyrës”. </w:t>
      </w:r>
    </w:p>
    <w:p w14:paraId="1D194E67" w14:textId="025FC031"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E.</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Kompensim për </w:t>
      </w:r>
      <w:r w:rsidR="00BA1700" w:rsidRPr="005D60D9">
        <w:rPr>
          <w:rFonts w:ascii="Garamond" w:eastAsiaTheme="minorHAnsi" w:hAnsi="Garamond"/>
          <w:b/>
          <w:bCs/>
          <w:color w:val="000000"/>
          <w:sz w:val="24"/>
          <w:szCs w:val="24"/>
          <w:lang w:val="sq-AL"/>
          <w14:ligatures w14:val="standardContextual"/>
        </w:rPr>
        <w:t xml:space="preserve">dënimin penal të padrejtë </w:t>
      </w:r>
      <w:r w:rsidRPr="005D60D9">
        <w:rPr>
          <w:rFonts w:ascii="Garamond" w:eastAsiaTheme="minorHAnsi" w:hAnsi="Garamond"/>
          <w:b/>
          <w:bCs/>
          <w:color w:val="000000"/>
          <w:sz w:val="24"/>
          <w:szCs w:val="24"/>
          <w:lang w:val="sq-AL"/>
          <w14:ligatures w14:val="standardContextual"/>
        </w:rPr>
        <w:t>(</w:t>
      </w:r>
      <w:r w:rsidR="00BA1700" w:rsidRPr="005D60D9">
        <w:rPr>
          <w:rFonts w:ascii="Garamond" w:eastAsiaTheme="minorHAnsi" w:hAnsi="Garamond"/>
          <w:b/>
          <w:bCs/>
          <w:color w:val="000000"/>
          <w:sz w:val="24"/>
          <w:szCs w:val="24"/>
          <w:lang w:val="sq-AL"/>
          <w14:ligatures w14:val="standardContextual"/>
        </w:rPr>
        <w:t xml:space="preserve">ligji </w:t>
      </w:r>
      <w:r w:rsidRPr="005D60D9">
        <w:rPr>
          <w:rFonts w:ascii="Garamond" w:eastAsiaTheme="minorHAnsi" w:hAnsi="Garamond"/>
          <w:b/>
          <w:bCs/>
          <w:color w:val="000000"/>
          <w:sz w:val="24"/>
          <w:szCs w:val="24"/>
          <w:lang w:val="sq-AL"/>
          <w14:ligatures w14:val="standardContextual"/>
        </w:rPr>
        <w:t xml:space="preserve">nr. 9381 i datës 28 </w:t>
      </w:r>
      <w:r w:rsidR="00BA1700" w:rsidRPr="005D60D9">
        <w:rPr>
          <w:rFonts w:ascii="Garamond" w:eastAsiaTheme="minorHAnsi" w:hAnsi="Garamond"/>
          <w:b/>
          <w:bCs/>
          <w:color w:val="000000"/>
          <w:sz w:val="24"/>
          <w:szCs w:val="24"/>
          <w:lang w:val="sq-AL"/>
          <w14:ligatures w14:val="standardContextual"/>
        </w:rPr>
        <w:t xml:space="preserve">prill </w:t>
      </w:r>
      <w:r w:rsidRPr="005D60D9">
        <w:rPr>
          <w:rFonts w:ascii="Garamond" w:eastAsiaTheme="minorHAnsi" w:hAnsi="Garamond"/>
          <w:b/>
          <w:bCs/>
          <w:color w:val="000000"/>
          <w:sz w:val="24"/>
          <w:szCs w:val="24"/>
          <w:lang w:val="sq-AL"/>
          <w14:ligatures w14:val="standardContextual"/>
        </w:rPr>
        <w:t>2005)</w:t>
      </w:r>
    </w:p>
    <w:p w14:paraId="1D194E68" w14:textId="581B0AA9"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Nenet 2 dhe 3(ç) të </w:t>
      </w:r>
      <w:r w:rsidR="00954A03" w:rsidRPr="005D60D9">
        <w:rPr>
          <w:rFonts w:ascii="Garamond" w:eastAsiaTheme="minorHAnsi" w:hAnsi="Garamond"/>
          <w:color w:val="000000"/>
          <w:sz w:val="24"/>
          <w:szCs w:val="24"/>
          <w:lang w:val="sq-AL"/>
          <w14:ligatures w14:val="standardContextual"/>
        </w:rPr>
        <w:t xml:space="preserve">ligjit </w:t>
      </w:r>
      <w:r w:rsidRPr="005D60D9">
        <w:rPr>
          <w:rFonts w:ascii="Garamond" w:eastAsiaTheme="minorHAnsi" w:hAnsi="Garamond"/>
          <w:color w:val="000000"/>
          <w:sz w:val="24"/>
          <w:szCs w:val="24"/>
          <w:lang w:val="sq-AL"/>
          <w14:ligatures w14:val="standardContextual"/>
        </w:rPr>
        <w:t xml:space="preserve">parashikojnë të drejtën e një individi për kompensim për vuajtjen e paraburgimit të paligjshëm në të njëjtat kushte si ato të parashikuara në </w:t>
      </w:r>
      <w:r w:rsidR="00954A03"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268 § 2 të KPP</w:t>
      </w:r>
      <w:r w:rsidR="00954A03">
        <w:rPr>
          <w:rFonts w:ascii="Garamond" w:eastAsiaTheme="minorHAnsi" w:hAnsi="Garamond"/>
          <w:color w:val="000000"/>
          <w:sz w:val="24"/>
          <w:szCs w:val="24"/>
          <w:lang w:val="sq-AL"/>
          <w14:ligatures w14:val="standardContextual"/>
        </w:rPr>
        <w:t>-së</w:t>
      </w:r>
      <w:r w:rsidRPr="005D60D9">
        <w:rPr>
          <w:rFonts w:ascii="Garamond" w:eastAsiaTheme="minorHAnsi" w:hAnsi="Garamond"/>
          <w:color w:val="000000"/>
          <w:sz w:val="24"/>
          <w:szCs w:val="24"/>
          <w:lang w:val="sq-AL"/>
          <w14:ligatures w14:val="standardContextual"/>
        </w:rPr>
        <w:t xml:space="preserve"> (shih paragrafin 34 më sipër). Sipas </w:t>
      </w:r>
      <w:r w:rsidR="00954A03"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8(3) të </w:t>
      </w:r>
      <w:r w:rsidR="00954A03" w:rsidRPr="005D60D9">
        <w:rPr>
          <w:rFonts w:ascii="Garamond" w:eastAsiaTheme="minorHAnsi" w:hAnsi="Garamond"/>
          <w:color w:val="000000"/>
          <w:sz w:val="24"/>
          <w:szCs w:val="24"/>
          <w:lang w:val="sq-AL"/>
          <w14:ligatures w14:val="standardContextual"/>
        </w:rPr>
        <w:t>ligjit</w:t>
      </w:r>
      <w:r w:rsidRPr="005D60D9">
        <w:rPr>
          <w:rFonts w:ascii="Garamond" w:eastAsiaTheme="minorHAnsi" w:hAnsi="Garamond"/>
          <w:color w:val="000000"/>
          <w:sz w:val="24"/>
          <w:szCs w:val="24"/>
          <w:lang w:val="sq-AL"/>
          <w14:ligatures w14:val="standardContextual"/>
        </w:rPr>
        <w:t xml:space="preserve">, pretendimi për kompensim duhet të dorëzohet pranë gjykatës përkatëse të shkallës së parë. </w:t>
      </w:r>
    </w:p>
    <w:p w14:paraId="1D194E69" w14:textId="1C025C5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PRAKTIKA GJYQËSORE VEND</w:t>
      </w:r>
      <w:r w:rsidR="0049404D">
        <w:rPr>
          <w:rFonts w:ascii="Garamond" w:eastAsiaTheme="minorHAnsi" w:hAnsi="Garamond"/>
          <w:color w:val="000000"/>
          <w:sz w:val="24"/>
          <w:szCs w:val="24"/>
          <w:lang w:val="sq-AL"/>
          <w14:ligatures w14:val="standardContextual"/>
        </w:rPr>
        <w:t>Ë</w:t>
      </w:r>
      <w:r w:rsidRPr="005D60D9">
        <w:rPr>
          <w:rFonts w:ascii="Garamond" w:eastAsiaTheme="minorHAnsi" w:hAnsi="Garamond"/>
          <w:color w:val="000000"/>
          <w:sz w:val="24"/>
          <w:szCs w:val="24"/>
          <w:lang w:val="sq-AL"/>
          <w14:ligatures w14:val="standardContextual"/>
        </w:rPr>
        <w:t xml:space="preserve">SE </w:t>
      </w:r>
    </w:p>
    <w:p w14:paraId="1D194E6A"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A.</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Praktika gjyqësore e Gjykatës së Lartë në lidhje me masat e arrestit </w:t>
      </w:r>
    </w:p>
    <w:p w14:paraId="1D194E6B" w14:textId="2DBF241E"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vendimin nr. 7 të datës 14 </w:t>
      </w:r>
      <w:r w:rsidR="0049404D" w:rsidRPr="005D60D9">
        <w:rPr>
          <w:rFonts w:ascii="Garamond" w:eastAsiaTheme="minorHAnsi" w:hAnsi="Garamond"/>
          <w:color w:val="000000"/>
          <w:sz w:val="24"/>
          <w:szCs w:val="24"/>
          <w:lang w:val="sq-AL"/>
          <w14:ligatures w14:val="standardContextual"/>
        </w:rPr>
        <w:t xml:space="preserve">tetor </w:t>
      </w:r>
      <w:r w:rsidRPr="005D60D9">
        <w:rPr>
          <w:rFonts w:ascii="Garamond" w:eastAsiaTheme="minorHAnsi" w:hAnsi="Garamond"/>
          <w:color w:val="000000"/>
          <w:sz w:val="24"/>
          <w:szCs w:val="24"/>
          <w:lang w:val="sq-AL"/>
          <w14:ligatures w14:val="standardContextual"/>
        </w:rPr>
        <w:t>2011, Gjykata e Lartë, e mbledhur në një formacion plenar (Kolegjet e Bashkuara) pranoi, për sa ka të bëjë me çështjen</w:t>
      </w:r>
      <w:r w:rsidR="0049404D">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se: </w:t>
      </w:r>
    </w:p>
    <w:p w14:paraId="1D194E6C" w14:textId="18D95A9C" w:rsidR="007202A0" w:rsidRPr="005D60D9" w:rsidRDefault="007A3B61"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 </w:t>
      </w:r>
      <w:r w:rsidR="007202A0" w:rsidRPr="005D60D9">
        <w:rPr>
          <w:rFonts w:ascii="Garamond" w:eastAsiaTheme="minorHAnsi" w:hAnsi="Garamond"/>
          <w:color w:val="000000"/>
          <w:sz w:val="24"/>
          <w:szCs w:val="24"/>
          <w:lang w:val="sq-AL"/>
          <w14:ligatures w14:val="standardContextual"/>
        </w:rPr>
        <w:t xml:space="preserve">“9. ... ekzistenca e një dyshimi të arsyeshëm mbështetur në prova ndaj të pandehurit </w:t>
      </w:r>
      <w:r w:rsidR="007202A0" w:rsidRPr="0049404D">
        <w:rPr>
          <w:rFonts w:ascii="Garamond" w:eastAsiaTheme="minorHAnsi" w:hAnsi="Garamond"/>
          <w:i/>
          <w:color w:val="000000"/>
          <w:sz w:val="24"/>
          <w:szCs w:val="24"/>
          <w:lang w:val="sq-AL"/>
          <w14:ligatures w14:val="standardContextual"/>
        </w:rPr>
        <w:t>(</w:t>
      </w:r>
      <w:r w:rsidR="007202A0" w:rsidRPr="005D60D9">
        <w:rPr>
          <w:rFonts w:ascii="Garamond" w:eastAsiaTheme="minorHAnsi" w:hAnsi="Garamond"/>
          <w:i/>
          <w:iCs/>
          <w:color w:val="000000"/>
          <w:sz w:val="24"/>
          <w:szCs w:val="24"/>
          <w:lang w:val="sq-AL"/>
          <w14:ligatures w14:val="standardContextual"/>
        </w:rPr>
        <w:t>fumus delicti</w:t>
      </w:r>
      <w:r w:rsidR="007202A0" w:rsidRPr="0049404D">
        <w:rPr>
          <w:rFonts w:ascii="Garamond" w:eastAsiaTheme="minorHAnsi" w:hAnsi="Garamond"/>
          <w:i/>
          <w:color w:val="000000"/>
          <w:sz w:val="24"/>
          <w:szCs w:val="24"/>
          <w:lang w:val="sq-AL"/>
          <w14:ligatures w14:val="standardContextual"/>
        </w:rPr>
        <w:t>)</w:t>
      </w:r>
      <w:r w:rsidR="007202A0" w:rsidRPr="005D60D9">
        <w:rPr>
          <w:rFonts w:ascii="Garamond" w:eastAsiaTheme="minorHAnsi" w:hAnsi="Garamond"/>
          <w:color w:val="000000"/>
          <w:sz w:val="24"/>
          <w:szCs w:val="24"/>
          <w:lang w:val="sq-AL"/>
          <w14:ligatures w14:val="standardContextual"/>
        </w:rPr>
        <w:t xml:space="preserve"> është vetëm kushti fillestar, [ose] parakushti, për zbatimin e masës së sigurimit personal. Ky kusht [ekzistenca e një dyshimi të arsyeshëm] nuk përjashton – përkundrazi, ai nënkupton – se përveç kësaj [këtij dyshimi], është e nevojshme të provohet të paktën njëri prej kushteve dhe </w:t>
      </w:r>
      <w:r w:rsidR="007202A0" w:rsidRPr="005D60D9">
        <w:rPr>
          <w:rFonts w:ascii="Garamond" w:eastAsiaTheme="minorHAnsi" w:hAnsi="Garamond"/>
          <w:color w:val="000000"/>
          <w:sz w:val="24"/>
          <w:szCs w:val="24"/>
          <w:lang w:val="sq-AL"/>
          <w14:ligatures w14:val="standardContextual"/>
        </w:rPr>
        <w:lastRenderedPageBreak/>
        <w:t>kritereve të tjera ligjore</w:t>
      </w:r>
      <w:r w:rsidR="0049404D">
        <w:rPr>
          <w:rFonts w:ascii="Garamond" w:eastAsiaTheme="minorHAnsi" w:hAnsi="Garamond"/>
          <w:color w:val="000000"/>
          <w:sz w:val="24"/>
          <w:szCs w:val="24"/>
          <w:lang w:val="sq-AL"/>
          <w14:ligatures w14:val="standardContextual"/>
        </w:rPr>
        <w:t>,</w:t>
      </w:r>
      <w:r w:rsidR="007202A0" w:rsidRPr="005D60D9">
        <w:rPr>
          <w:rFonts w:ascii="Garamond" w:eastAsiaTheme="minorHAnsi" w:hAnsi="Garamond"/>
          <w:color w:val="000000"/>
          <w:sz w:val="24"/>
          <w:szCs w:val="24"/>
          <w:lang w:val="sq-AL"/>
          <w14:ligatures w14:val="standardContextual"/>
        </w:rPr>
        <w:t xml:space="preserve"> të cilat bëjnë fjalë për një masë sigurimi personal, si edhe për përshtatshmërinë e masës aktuale të sigurimit [që do të vendoset për të] kufizuar lirinë e të pandehurit (</w:t>
      </w:r>
      <w:r w:rsidR="007202A0" w:rsidRPr="005D60D9">
        <w:rPr>
          <w:rFonts w:ascii="Garamond" w:eastAsiaTheme="minorHAnsi" w:hAnsi="Garamond"/>
          <w:i/>
          <w:iCs/>
          <w:color w:val="000000"/>
          <w:sz w:val="24"/>
          <w:szCs w:val="24"/>
          <w:lang w:val="sq-AL"/>
          <w14:ligatures w14:val="standardContextual"/>
        </w:rPr>
        <w:t>periculum libertatis</w:t>
      </w:r>
      <w:r w:rsidR="007202A0" w:rsidRPr="005D60D9">
        <w:rPr>
          <w:rFonts w:ascii="Garamond" w:eastAsiaTheme="minorHAnsi" w:hAnsi="Garamond"/>
          <w:color w:val="000000"/>
          <w:sz w:val="24"/>
          <w:szCs w:val="24"/>
          <w:lang w:val="sq-AL"/>
          <w14:ligatures w14:val="standardContextual"/>
        </w:rPr>
        <w:t xml:space="preserve">). Procesi gjyqësor që vendos ose shqyrton nevojën për një masë sigurimi, në përputhje me kushtet dhe kriteret e parashikuara nga ligji, mbështetet dhe ka për qëllim të arrijë balancën e nevojshme midis, nga njëra anë, respektit për (dhe mbrojtjen e) rendit publik dhe ... administrimin e drejtësisë, dhe, nga ana tjetër, të drejtat dhe interesat ligjorë të individit që i nënshtrohet procesit gjyqësor – ku që të dyja parashikohen në Kushtetutë. </w:t>
      </w:r>
    </w:p>
    <w:p w14:paraId="1D194E6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w:t>
      </w:r>
    </w:p>
    <w:p w14:paraId="1D194E6E" w14:textId="64D7E6B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Sipas interpretimit korrekt të kuptimit që i duhet dhënë termit “rrezik”</w:t>
      </w:r>
      <w:r w:rsidR="0049404D">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sipas </w:t>
      </w:r>
      <w:r w:rsidR="0049404D"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228 [të KPP] në tërësi – duke përfshirë paragrafin (a) të atij </w:t>
      </w:r>
      <w:r w:rsidR="0049404D" w:rsidRPr="005D60D9">
        <w:rPr>
          <w:rFonts w:ascii="Garamond" w:eastAsiaTheme="minorHAnsi" w:hAnsi="Garamond"/>
          <w:color w:val="000000"/>
          <w:sz w:val="24"/>
          <w:szCs w:val="24"/>
          <w:lang w:val="sq-AL"/>
          <w14:ligatures w14:val="standardContextual"/>
        </w:rPr>
        <w:t xml:space="preserve">neni </w:t>
      </w:r>
      <w:r w:rsidRPr="005D60D9">
        <w:rPr>
          <w:rFonts w:ascii="Garamond" w:eastAsiaTheme="minorHAnsi" w:hAnsi="Garamond"/>
          <w:color w:val="000000"/>
          <w:sz w:val="24"/>
          <w:szCs w:val="24"/>
          <w:lang w:val="sq-AL"/>
          <w14:ligatures w14:val="standardContextual"/>
        </w:rPr>
        <w:t>– gjykata arrin në përfundimin e unifikuar se në çdo fazë të procesit gjyqësor, kërkesa e paraqitur nga prokuroria dhe vendimi i gjykatës me anë të së cilit vendoset masa e sigurimit personal duhet të arsyetohen [në mënyrën e duhur], ..., dhe [duhet] të përcaktojnë (konkretisht) nevojën për një masë sigurimi personal dhe [të detajojnë] arsyet e rëndësishme në lidhje me “rrezikun” [konkret] – që do të thotë, probabilitetin [ose] mundësinë reale që procesi gjyqësor (</w:t>
      </w:r>
      <w:r w:rsidRPr="005D60D9">
        <w:rPr>
          <w:rFonts w:ascii="Garamond" w:eastAsiaTheme="minorHAnsi" w:hAnsi="Garamond"/>
          <w:i/>
          <w:iCs/>
          <w:color w:val="000000"/>
          <w:sz w:val="24"/>
          <w:szCs w:val="24"/>
          <w:lang w:val="sq-AL"/>
          <w14:ligatures w14:val="standardContextual"/>
        </w:rPr>
        <w:t>plerumque accidit</w:t>
      </w:r>
      <w:r w:rsidRPr="005D60D9">
        <w:rPr>
          <w:rFonts w:ascii="Garamond" w:eastAsiaTheme="minorHAnsi" w:hAnsi="Garamond"/>
          <w:color w:val="000000"/>
          <w:sz w:val="24"/>
          <w:szCs w:val="24"/>
          <w:lang w:val="sq-AL"/>
          <w14:ligatures w14:val="standardContextual"/>
        </w:rPr>
        <w:t>) do të rrezikohet nga i pandehuri.”</w:t>
      </w:r>
      <w:r w:rsidR="001166E0">
        <w:rPr>
          <w:rFonts w:ascii="Garamond" w:eastAsiaTheme="minorHAnsi" w:hAnsi="Garamond"/>
          <w:color w:val="000000"/>
          <w:sz w:val="24"/>
          <w:szCs w:val="24"/>
          <w:lang w:val="sq-AL"/>
          <w14:ligatures w14:val="standardContextual"/>
        </w:rPr>
        <w:t>.</w:t>
      </w:r>
    </w:p>
    <w:p w14:paraId="1D194E6F"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B.</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Praktika gjyqësore e Gjykatës Kushtetuese për paraburgimin </w:t>
      </w:r>
    </w:p>
    <w:p w14:paraId="1D194E70" w14:textId="38EF673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39.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vendimin nr. 28, të datës 23 </w:t>
      </w:r>
      <w:r w:rsidR="001166E0"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2011, Gjykata Kushtetuese shqyrtoi një grup ankesash ndaj vendimit gjyqësor me anë të së cilit urdhërohej arrestimi i ankueses. Gjykata Kushtetuese theksonte se vendosja e një mase sigurimi kishte të bënte në mënyrë të drejtpërdrejtë me të drejtat dhe liritë themelore të njeriut për personin e prekur</w:t>
      </w:r>
      <w:r w:rsidR="005D60D9">
        <w:rPr>
          <w:rFonts w:ascii="Garamond" w:eastAsiaTheme="minorHAnsi" w:hAnsi="Garamond"/>
          <w:color w:val="000000"/>
          <w:sz w:val="24"/>
          <w:szCs w:val="24"/>
          <w:lang w:val="sq-AL"/>
          <w14:ligatures w14:val="standardContextual"/>
        </w:rPr>
        <w:t xml:space="preserve"> </w:t>
      </w:r>
      <w:r w:rsidR="000B3DEC">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që do të thotë me lirinë personale të një individi. Gjithashtu, gjykata citonte praktikën gjyqësore të Gjykatës E</w:t>
      </w:r>
      <w:r w:rsidR="000B3DEC">
        <w:rPr>
          <w:rFonts w:ascii="Garamond" w:eastAsiaTheme="minorHAnsi" w:hAnsi="Garamond"/>
          <w:color w:val="000000"/>
          <w:sz w:val="24"/>
          <w:szCs w:val="24"/>
          <w:lang w:val="sq-AL"/>
          <w14:ligatures w14:val="standardContextual"/>
        </w:rPr>
        <w:t>v</w:t>
      </w:r>
      <w:r w:rsidRPr="005D60D9">
        <w:rPr>
          <w:rFonts w:ascii="Garamond" w:eastAsiaTheme="minorHAnsi" w:hAnsi="Garamond"/>
          <w:color w:val="000000"/>
          <w:sz w:val="24"/>
          <w:szCs w:val="24"/>
          <w:lang w:val="sq-AL"/>
          <w14:ligatures w14:val="standardContextual"/>
        </w:rPr>
        <w:t xml:space="preserve">ropiane të të Drejtave të Njeriut sipas </w:t>
      </w:r>
      <w:r w:rsidR="000F78C8"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5 të Konventës. Pas zbatimit të parimeve të zbatueshme për çështjen konkrete Gjykata Kushtetuese rrëzoi ankimet. </w:t>
      </w:r>
    </w:p>
    <w:p w14:paraId="1D194E71" w14:textId="770B0CA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vendimin nr. 40, të datës 18 </w:t>
      </w:r>
      <w:r w:rsidR="000F78C8" w:rsidRPr="005D60D9">
        <w:rPr>
          <w:rFonts w:ascii="Garamond" w:eastAsiaTheme="minorHAnsi" w:hAnsi="Garamond"/>
          <w:color w:val="000000"/>
          <w:sz w:val="24"/>
          <w:szCs w:val="24"/>
          <w:lang w:val="sq-AL"/>
          <w14:ligatures w14:val="standardContextual"/>
        </w:rPr>
        <w:t xml:space="preserve">korrik </w:t>
      </w:r>
      <w:r w:rsidRPr="005D60D9">
        <w:rPr>
          <w:rFonts w:ascii="Garamond" w:eastAsiaTheme="minorHAnsi" w:hAnsi="Garamond"/>
          <w:color w:val="000000"/>
          <w:sz w:val="24"/>
          <w:szCs w:val="24"/>
          <w:lang w:val="sq-AL"/>
          <w14:ligatures w14:val="standardContextual"/>
        </w:rPr>
        <w:t>2012, Gjykata Kushtetuese shqyrtoi një ankesë ku thuhej se Gjykata e Apelit Tiranë kishte gabuar në përllogaritjen e afatit për të apeluar kundër një vendimi të gjykatës së shkallës së parë, me anë të së cilit urdhërohej arrestimi i ankuesit. Gjykata Kushtetuese konstatoi se ankimi ishte i pranueshëm, pavarësisht faktit</w:t>
      </w:r>
      <w:r w:rsidR="000F78C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se</w:t>
      </w:r>
      <w:r w:rsidR="000F78C8">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i</w:t>
      </w:r>
      <w:r w:rsidR="000F78C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grupin vijues të procedurave, gjykatat e zakonshme kishin zëvendësuar paraburgimin e kërkuesit me arrest në arrest shtëpie</w:t>
      </w:r>
      <w:r w:rsidR="000F78C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dhe ii</w:t>
      </w:r>
      <w:r w:rsidR="000F78C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më pas ai ishte arrestuar mbështetur në fuqinë e një vendimi që vendoste dënimin me burgim. </w:t>
      </w:r>
    </w:p>
    <w:p w14:paraId="1D194E72" w14:textId="2704E315"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Për sa ka të bëjë me meritat e çështjes përpara saj, gjykata shqyrtoi aspektin nëse procesi që çoi në paraburgimin e kërkuesit kishte zbatuar kërkesat për “një seancë të drejtë”</w:t>
      </w:r>
      <w:r w:rsidR="000F78C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sipas Kushtetutës. Pas atij shqyrtimi, gjykata e mbështeti ankesën</w:t>
      </w:r>
      <w:r w:rsidR="000F78C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duke gjykuar se ishte shkelur e drejta e kërkueses për t’iu drejtuar gjykatës së apelit për të kundërshtuar paraburgimin dhënë nga gjykata e shkallës së parë, për shkak të keqzbatimit të ligjit përkatës. Megjithatë, duke pasur parasysh se procesi i paraburgimit ishte bërë i dyshimtë, Gjykata Kushtetuese nuk urdhëroi rigjykim përpara gjykatave të zakonshme. </w:t>
      </w:r>
    </w:p>
    <w:p w14:paraId="1D194E73"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LIGJI </w:t>
      </w:r>
    </w:p>
    <w:p w14:paraId="1D194E74" w14:textId="27DF886C"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mbështetje të </w:t>
      </w:r>
      <w:r w:rsidR="000F78C8"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5 § 1 (c) të Kushtetutës, kërkuesja u ankua se vendimet vend</w:t>
      </w:r>
      <w:r w:rsidR="000F78C8">
        <w:rPr>
          <w:rFonts w:ascii="Garamond" w:eastAsiaTheme="minorHAnsi" w:hAnsi="Garamond"/>
          <w:color w:val="000000"/>
          <w:sz w:val="24"/>
          <w:szCs w:val="24"/>
          <w:lang w:val="sq-AL"/>
          <w14:ligatures w14:val="standardContextual"/>
        </w:rPr>
        <w:t>ë</w:t>
      </w:r>
      <w:r w:rsidRPr="005D60D9">
        <w:rPr>
          <w:rFonts w:ascii="Garamond" w:eastAsiaTheme="minorHAnsi" w:hAnsi="Garamond"/>
          <w:color w:val="000000"/>
          <w:sz w:val="24"/>
          <w:szCs w:val="24"/>
          <w:lang w:val="sq-AL"/>
          <w14:ligatures w14:val="standardContextual"/>
        </w:rPr>
        <w:t xml:space="preserve">se që urdhëronin burgimin e saj nuk përmbanin arsyetimin e duhur dhe të mjaftueshëm, dhe as nuk </w:t>
      </w:r>
      <w:r w:rsidR="000F78C8">
        <w:rPr>
          <w:rFonts w:ascii="Garamond" w:eastAsiaTheme="minorHAnsi" w:hAnsi="Garamond"/>
          <w:color w:val="000000"/>
          <w:sz w:val="24"/>
          <w:szCs w:val="24"/>
          <w:lang w:val="sq-AL"/>
          <w14:ligatures w14:val="standardContextual"/>
        </w:rPr>
        <w:t>u</w:t>
      </w:r>
      <w:r w:rsidRPr="005D60D9">
        <w:rPr>
          <w:rFonts w:ascii="Garamond" w:eastAsiaTheme="minorHAnsi" w:hAnsi="Garamond"/>
          <w:color w:val="000000"/>
          <w:sz w:val="24"/>
          <w:szCs w:val="24"/>
          <w:lang w:val="sq-AL"/>
          <w14:ligatures w14:val="standardContextual"/>
        </w:rPr>
        <w:t xml:space="preserve"> referoheshin rrethanave të saj personale. Sipas </w:t>
      </w:r>
      <w:r w:rsidR="00453A77"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5 § 4 të Konventës, ajo u ankua edhe se apelimet e saj</w:t>
      </w:r>
      <w:r w:rsidR="00453A77">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arrestimin e saj nuk ishin shqyrtuar në mënyrën e duhur. Gjykata, duke qenë kompetente në karakterizimin e fakteve të çështjes sipas ligjit, gjykon se këto ankesa duhet të shqyrtohen sipas </w:t>
      </w:r>
      <w:r w:rsidR="00453A77"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5 § 3 të Konventës, i cili parashikon si më poshtë: </w:t>
      </w:r>
    </w:p>
    <w:p w14:paraId="1D194E75" w14:textId="6443A14F" w:rsidR="007202A0" w:rsidRPr="005D60D9" w:rsidRDefault="007A3B61"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 </w:t>
      </w:r>
      <w:r w:rsidR="007202A0" w:rsidRPr="005D60D9">
        <w:rPr>
          <w:rFonts w:ascii="Garamond" w:eastAsiaTheme="minorHAnsi" w:hAnsi="Garamond"/>
          <w:color w:val="000000"/>
          <w:sz w:val="24"/>
          <w:szCs w:val="24"/>
          <w:lang w:val="sq-AL"/>
          <w14:ligatures w14:val="standardContextual"/>
        </w:rPr>
        <w:t>“3. Çdo person i arrestuar ose i paraburgosur në rrethanat e parashikuara në paragrafin 1/c të këtij neni duhet të çohet menjëherë përpara një gjyqtari ose një zyrtari tjetër të autorizuar me ligj për të ushtruar funksione gjyqësore dhe ka të drejtë të gjykohet brenda një afati të arsyeshëm ose të lirohet në gjykim e sipër. Lirimi mund të kushtëzohet me dhënien e garancive për t’u paraqitur në procesin gjyqësor.”</w:t>
      </w:r>
      <w:r w:rsidR="00B83F1C">
        <w:rPr>
          <w:rFonts w:ascii="Garamond" w:eastAsiaTheme="minorHAnsi" w:hAnsi="Garamond"/>
          <w:color w:val="000000"/>
          <w:sz w:val="24"/>
          <w:szCs w:val="24"/>
          <w:lang w:val="sq-AL"/>
          <w14:ligatures w14:val="standardContextual"/>
        </w:rPr>
        <w:t>.</w:t>
      </w:r>
      <w:r w:rsidR="007202A0" w:rsidRPr="005D60D9">
        <w:rPr>
          <w:rFonts w:ascii="Garamond" w:eastAsiaTheme="minorHAnsi" w:hAnsi="Garamond"/>
          <w:color w:val="000000"/>
          <w:sz w:val="24"/>
          <w:szCs w:val="24"/>
          <w:lang w:val="sq-AL"/>
          <w14:ligatures w14:val="standardContextual"/>
        </w:rPr>
        <w:t xml:space="preserve"> </w:t>
      </w:r>
    </w:p>
    <w:p w14:paraId="1D194E76"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ZBATIM I NENIT 37 § 1 (b) TË KONVENTËS</w:t>
      </w:r>
    </w:p>
    <w:p w14:paraId="1D194E77" w14:textId="1A77E22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parashtroi se më 19 </w:t>
      </w:r>
      <w:r w:rsidR="00453A77"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2014, gjykatat vend</w:t>
      </w:r>
      <w:r w:rsidR="00453A77">
        <w:rPr>
          <w:rFonts w:ascii="Garamond" w:eastAsiaTheme="minorHAnsi" w:hAnsi="Garamond"/>
          <w:color w:val="000000"/>
          <w:sz w:val="24"/>
          <w:szCs w:val="24"/>
          <w:lang w:val="sq-AL"/>
          <w14:ligatures w14:val="standardContextual"/>
        </w:rPr>
        <w:t>ës</w:t>
      </w:r>
      <w:r w:rsidRPr="005D60D9">
        <w:rPr>
          <w:rFonts w:ascii="Garamond" w:eastAsiaTheme="minorHAnsi" w:hAnsi="Garamond"/>
          <w:color w:val="000000"/>
          <w:sz w:val="24"/>
          <w:szCs w:val="24"/>
          <w:lang w:val="sq-AL"/>
          <w14:ligatures w14:val="standardContextual"/>
        </w:rPr>
        <w:t xml:space="preserve">e kishin zëvendësuar paraburgimin e kërkueses me arrest shtëpie (shih paragrafin 22 më sipër), dhe se më 8 </w:t>
      </w:r>
      <w:r w:rsidR="00AE4F72"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205, </w:t>
      </w:r>
      <w:r w:rsidRPr="005D60D9">
        <w:rPr>
          <w:rFonts w:ascii="Garamond" w:eastAsiaTheme="minorHAnsi" w:hAnsi="Garamond"/>
          <w:color w:val="000000"/>
          <w:sz w:val="24"/>
          <w:szCs w:val="24"/>
          <w:lang w:val="sq-AL"/>
          <w14:ligatures w14:val="standardContextual"/>
        </w:rPr>
        <w:lastRenderedPageBreak/>
        <w:t xml:space="preserve">ajo ishte lënë e lirë (shih paragrafin 24 më sipër). Në këtë mënyrë, sipas këndvështrimit të Qeverisë çështja ishte zgjidhur dhe duhet të çregjistrohet nga lista e çështjeve të Gjykatës në mbështetje të </w:t>
      </w:r>
      <w:r w:rsidR="00AE4F72"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37 § 1 (b) të Konventës. </w:t>
      </w:r>
    </w:p>
    <w:p w14:paraId="1D194E78"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Kërkuesja mbështeti ankesat e saj pa e adresuar këtë çështje. </w:t>
      </w:r>
    </w:p>
    <w:p w14:paraId="1D194E79" w14:textId="5620021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vëren se pjesa e ankesave të kërkueses që tashmë janë përpara saj lidhen me periudhën e parë të burgimit të saj, që zgjati pesë muaj dhe pesë ditë. Ajo periudhë filloi më 6 </w:t>
      </w:r>
      <w:r w:rsidR="00883338"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kur ajo u dënua me burgim sipas vendimit të Gjykatës së Rrethit Tiranë, të datës 5 </w:t>
      </w:r>
      <w:r w:rsidR="00883338"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(shih paragrafin 9 më sipër). Periudha e burgimit përfundoi më 11 </w:t>
      </w:r>
      <w:r w:rsidR="00883338"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2014, kur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e rrëzuan kërkesën e saj </w:t>
      </w:r>
      <w:r w:rsidRPr="005D60D9">
        <w:rPr>
          <w:rFonts w:ascii="Garamond" w:eastAsiaTheme="minorHAnsi" w:hAnsi="Garamond"/>
          <w:i/>
          <w:iCs/>
          <w:color w:val="000000"/>
          <w:sz w:val="24"/>
          <w:szCs w:val="24"/>
          <w:lang w:val="sq-AL"/>
          <w14:ligatures w14:val="standardContextual"/>
        </w:rPr>
        <w:t>habeas corpus</w:t>
      </w:r>
      <w:r w:rsidRPr="005D60D9">
        <w:rPr>
          <w:rFonts w:ascii="Garamond" w:eastAsiaTheme="minorHAnsi" w:hAnsi="Garamond"/>
          <w:color w:val="000000"/>
          <w:sz w:val="24"/>
          <w:szCs w:val="24"/>
          <w:lang w:val="sq-AL"/>
          <w14:ligatures w14:val="standardContextual"/>
        </w:rPr>
        <w:t xml:space="preserve"> (shih paragrafin 20 më sipër), duke shkaktuar në këtë mënyrë periudhën e dytë të burgimit të kërkueses, për të cilën ankimet e saj tashmë janë deklaruar të papranueshme. </w:t>
      </w:r>
    </w:p>
    <w:p w14:paraId="1D194E7A" w14:textId="3B14882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vijim, Gjykata vëren se as vendimi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i datës 19 </w:t>
      </w:r>
      <w:r w:rsidR="00F93B4D"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2014 që e vendoste kërkuesen në arrest shtëpie (shih paragrafin 22 më sipër) dhe as vendimi i datës 8 </w:t>
      </w:r>
      <w:r w:rsidR="00F93B4D"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2015 që pezullonte dënimin e saj me burgim (shih paragrafin 24 më sipër), nuk përfshinte ndonjë përcaktim për pajtueshmërinë e paraburgimit fillestar të kërkueses me </w:t>
      </w:r>
      <w:r w:rsidR="00F93B4D"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5 § 3 të Konventës – një problematikë që shtrihet në zemër të çështjes së saj përpara Gjykatës. Përkundrazi, të gjithë apelimet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w:t>
      </w:r>
      <w:r w:rsidR="00F93B4D">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periudhën e parë të burgimit të kërkueses u rrëzuan nga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w:t>
      </w:r>
    </w:p>
    <w:p w14:paraId="1D194E7B" w14:textId="4F6D6765"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Ndërprerja e mëpasshme e paraburgimit të kërkueses nuk e ndryshonte faktin se ajo, sidoqoftë, kishte qenë në burgim për pesë muaj e pesë ditë. Për këtë arsye, ajo ka të drejtën të ankohet në Gjykatë se burgimi i saj ishte në kundërshtim me </w:t>
      </w:r>
      <w:r w:rsidR="00F93B4D"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5 § 3 të Konventës. Më tej, ajo vijon se ndryshe nga parashtrimi i Qeverisë, çështja nuk është zgjidhur dhe nuk janë përmbushur kushtet e parashikuara në </w:t>
      </w:r>
      <w:r w:rsidR="00F93B4D"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37 § 1 (b) të Konventës. </w:t>
      </w:r>
    </w:p>
    <w:p w14:paraId="1D194E7C"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këtë mënyrë, Gjykata rrëzon kërkesën e Qeverisë që kërkesa të çregjistrohet nga lista e saj e çështjeve. </w:t>
      </w:r>
    </w:p>
    <w:p w14:paraId="1D194E7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PRETENDIM PËR SHKELJE TË NENIT 5 § 3 TË KONVENTËS</w:t>
      </w:r>
    </w:p>
    <w:p w14:paraId="1D194E7E"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A.</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Pranueshmëria </w:t>
      </w:r>
    </w:p>
    <w:p w14:paraId="1D194E7F"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1.</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Parashtrimet e palëve</w:t>
      </w:r>
    </w:p>
    <w:p w14:paraId="1D194E80" w14:textId="3EDE8D39"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49.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iu referua </w:t>
      </w:r>
      <w:r w:rsidR="00F93B4D"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34 të Konventës</w:t>
      </w:r>
      <w:r w:rsidR="00F93B4D">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duke kundërshtuar se në datën kur ishte paraqitur kërkesa, kërkuesja nuk ishte e privuar nga liria; për këtë arsye ajo nuk kishte pasur statusin e viktimës, dhe kështu, nuk kishte të drejtë të paraqiste një ankesë pranë Gjykatës. </w:t>
      </w:r>
    </w:p>
    <w:p w14:paraId="1D194E81"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Gjithashtu, Qeveria kundërshtoi se ankesat nuk ishin të mbështetura në fakte. </w:t>
      </w:r>
    </w:p>
    <w:p w14:paraId="1D194E82"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Kërkuesja përsëriti ankesat e saj, pa iu përgjigjur argumenteve të mësipërme. </w:t>
      </w:r>
    </w:p>
    <w:p w14:paraId="1D194E83"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2.</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Vlerësimi i Gjykatës</w:t>
      </w:r>
    </w:p>
    <w:p w14:paraId="1D194E84" w14:textId="60E1AD2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përsërit se fjala “viktimë”, sipas kontekstit të </w:t>
      </w:r>
      <w:r w:rsidR="00F93B4D"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34 të Konventës, përcakton personin që preket drejtpërdrejtë nga veprimi ose mosveprimi konkret. Rrjedhimisht, një vendim apo masë në favor të kërkuesit në parim nuk është mjaftueshëm për ta privuar atë nga statusi i tij si “viktimë”</w:t>
      </w:r>
      <w:r w:rsidR="00F93B4D">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nëse autoritetet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nuk kanë pranuar, shprehimisht ose në thelb, duke korrigjuar më pas, shkeljen konkrete të Konventës (shih, midis autoritetesh të tjera, </w:t>
      </w:r>
      <w:r w:rsidRPr="005D60D9">
        <w:rPr>
          <w:rFonts w:ascii="Garamond" w:eastAsiaTheme="minorHAnsi" w:hAnsi="Garamond"/>
          <w:i/>
          <w:iCs/>
          <w:color w:val="000000"/>
          <w:sz w:val="24"/>
          <w:szCs w:val="24"/>
          <w:lang w:val="sq-AL"/>
          <w14:ligatures w14:val="standardContextual"/>
        </w:rPr>
        <w:t>Sakhnovskiy kundër Rusisë</w:t>
      </w:r>
      <w:r w:rsidRPr="005D60D9">
        <w:rPr>
          <w:rFonts w:ascii="Garamond" w:eastAsiaTheme="minorHAnsi" w:hAnsi="Garamond"/>
          <w:color w:val="000000"/>
          <w:sz w:val="24"/>
          <w:szCs w:val="24"/>
          <w:lang w:val="sq-AL"/>
          <w14:ligatures w14:val="standardContextual"/>
        </w:rPr>
        <w:t xml:space="preserve"> [DHM], nr. 21272/03, § 67, 2 </w:t>
      </w:r>
      <w:r w:rsidR="00F93B4D"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2010). Natyra ndihmëse e mekanizmit mbrojtës së Konventës përjashton shqyrtimin e një kërkese vetëm kur përmbushen këto kushte (shih </w:t>
      </w:r>
      <w:r w:rsidRPr="005D60D9">
        <w:rPr>
          <w:rFonts w:ascii="Garamond" w:eastAsiaTheme="minorHAnsi" w:hAnsi="Garamond"/>
          <w:i/>
          <w:iCs/>
          <w:color w:val="000000"/>
          <w:sz w:val="24"/>
          <w:szCs w:val="24"/>
          <w:lang w:val="sq-AL"/>
          <w14:ligatures w14:val="standardContextual"/>
        </w:rPr>
        <w:t xml:space="preserve">Arat kundër Turqisë, </w:t>
      </w:r>
      <w:r w:rsidRPr="005D60D9">
        <w:rPr>
          <w:rFonts w:ascii="Garamond" w:eastAsiaTheme="minorHAnsi" w:hAnsi="Garamond"/>
          <w:color w:val="000000"/>
          <w:sz w:val="24"/>
          <w:szCs w:val="24"/>
          <w:lang w:val="sq-AL"/>
          <w14:ligatures w14:val="standardContextual"/>
        </w:rPr>
        <w:t xml:space="preserve">nr. 10309/03, § 46, 10 </w:t>
      </w:r>
      <w:r w:rsidR="00E11E31"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2009). Humbja e pretenduar e statusit “viktimë” të kërkueses përfshin shqyrtimin e natyrës të </w:t>
      </w:r>
      <w:r w:rsidR="00E11E31">
        <w:rPr>
          <w:rFonts w:ascii="Garamond" w:eastAsiaTheme="minorHAnsi" w:hAnsi="Garamond"/>
          <w:color w:val="000000"/>
          <w:sz w:val="24"/>
          <w:szCs w:val="24"/>
          <w:lang w:val="sq-AL"/>
          <w14:ligatures w14:val="standardContextual"/>
        </w:rPr>
        <w:t>s</w:t>
      </w:r>
      <w:r w:rsidRPr="005D60D9">
        <w:rPr>
          <w:rFonts w:ascii="Garamond" w:eastAsiaTheme="minorHAnsi" w:hAnsi="Garamond"/>
          <w:color w:val="000000"/>
          <w:sz w:val="24"/>
          <w:szCs w:val="24"/>
          <w:lang w:val="sq-AL"/>
          <w14:ligatures w14:val="standardContextual"/>
        </w:rPr>
        <w:t xml:space="preserve">ë drejtës konkrete, arsyet e paraqitura nga autoritetet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në vendimin e tyre dhe vijimësinë e pasojave negative për kërkuesen pas vendimit (shih </w:t>
      </w:r>
      <w:r w:rsidRPr="005D60D9">
        <w:rPr>
          <w:rFonts w:ascii="Garamond" w:eastAsiaTheme="minorHAnsi" w:hAnsi="Garamond"/>
          <w:i/>
          <w:iCs/>
          <w:color w:val="000000"/>
          <w:sz w:val="24"/>
          <w:szCs w:val="24"/>
          <w:lang w:val="sq-AL"/>
          <w14:ligatures w14:val="standardContextual"/>
        </w:rPr>
        <w:t xml:space="preserve">Freimanis dhe Līdums kundër Letonisë, </w:t>
      </w:r>
      <w:r w:rsidRPr="005D60D9">
        <w:rPr>
          <w:rFonts w:ascii="Garamond" w:eastAsiaTheme="minorHAnsi" w:hAnsi="Garamond"/>
          <w:color w:val="000000"/>
          <w:sz w:val="24"/>
          <w:szCs w:val="24"/>
          <w:lang w:val="sq-AL"/>
          <w14:ligatures w14:val="standardContextual"/>
        </w:rPr>
        <w:t xml:space="preserve">nr. 73443/01 dhe 74860/01, § 68, 9 </w:t>
      </w:r>
      <w:r w:rsidR="00E11E31"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2006). </w:t>
      </w:r>
    </w:p>
    <w:p w14:paraId="1D194E85" w14:textId="57E7CDE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Duke u kthyer te çështja konkrete, Gjykata vëren se kundërshtimi i Qeverisë, në thelb mbështetet tek të njëjtat argumente të paraqitura në kërkesën e saj sipas </w:t>
      </w:r>
      <w:r w:rsidR="00E11E31"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37 § 1 (b) të Konventës, duke kërkuar që çështja të çregjistrohej nga lista e çështjeve të Gjykatës (shih paragrafin 43 më sipër). Në këto rrethana, për të njëjtat arsye si ato të paraqitura në paragrafët 45</w:t>
      </w:r>
      <w:r w:rsidR="00E11E31">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47 më sipër, Gjykata e rrëzon kundërshtimin e Qeverisë</w:t>
      </w:r>
      <w:r w:rsidR="00E11E31">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statusin “viktimë” të </w:t>
      </w:r>
      <w:r w:rsidRPr="005D60D9">
        <w:rPr>
          <w:rFonts w:ascii="Garamond" w:eastAsiaTheme="minorHAnsi" w:hAnsi="Garamond"/>
          <w:color w:val="000000"/>
          <w:sz w:val="24"/>
          <w:szCs w:val="24"/>
          <w:lang w:val="sq-AL"/>
          <w14:ligatures w14:val="standardContextual"/>
        </w:rPr>
        <w:lastRenderedPageBreak/>
        <w:t xml:space="preserve">kërkueses në mbështetje të </w:t>
      </w:r>
      <w:r w:rsidR="00E11E31"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34 të Konventës (shih, </w:t>
      </w:r>
      <w:r w:rsidRPr="005D60D9">
        <w:rPr>
          <w:rFonts w:ascii="Garamond" w:eastAsiaTheme="minorHAnsi" w:hAnsi="Garamond"/>
          <w:i/>
          <w:iCs/>
          <w:color w:val="000000"/>
          <w:sz w:val="24"/>
          <w:szCs w:val="24"/>
          <w:lang w:val="sq-AL"/>
          <w14:ligatures w14:val="standardContextual"/>
        </w:rPr>
        <w:t xml:space="preserve">mutatis mutandis, Nada kundër Zvicrës, </w:t>
      </w:r>
      <w:r w:rsidRPr="005D60D9">
        <w:rPr>
          <w:rFonts w:ascii="Garamond" w:eastAsiaTheme="minorHAnsi" w:hAnsi="Garamond"/>
          <w:color w:val="000000"/>
          <w:sz w:val="24"/>
          <w:szCs w:val="24"/>
          <w:lang w:val="sq-AL"/>
          <w14:ligatures w14:val="standardContextual"/>
        </w:rPr>
        <w:t xml:space="preserve">[DHM], nr. 10593/08, § 129, GJEDNJ 2012). </w:t>
      </w:r>
    </w:p>
    <w:p w14:paraId="1D194E86" w14:textId="07AA74E5"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Së fundmi, në çështjen </w:t>
      </w:r>
      <w:r w:rsidRPr="005D60D9">
        <w:rPr>
          <w:rFonts w:ascii="Garamond" w:eastAsiaTheme="minorHAnsi" w:hAnsi="Garamond"/>
          <w:i/>
          <w:iCs/>
          <w:color w:val="000000"/>
          <w:sz w:val="24"/>
          <w:szCs w:val="24"/>
          <w:lang w:val="sq-AL"/>
          <w14:ligatures w14:val="standardContextual"/>
        </w:rPr>
        <w:t xml:space="preserve">Delijorgji kundër Shqipërisë </w:t>
      </w:r>
      <w:r w:rsidRPr="005D60D9">
        <w:rPr>
          <w:rFonts w:ascii="Garamond" w:eastAsiaTheme="minorHAnsi" w:hAnsi="Garamond"/>
          <w:color w:val="000000"/>
          <w:sz w:val="24"/>
          <w:szCs w:val="24"/>
          <w:lang w:val="sq-AL"/>
          <w14:ligatures w14:val="standardContextual"/>
        </w:rPr>
        <w:t xml:space="preserve">(nr. 6858/11, § 59, 28 </w:t>
      </w:r>
      <w:r w:rsidR="00E11E31"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2015) Gjykata konstatoi se Qeveria nuk kishte cituar ndonjë vendim për të mbështetur pretendimin e saj se Gjykata Kushtetuese ofroi një zgjidhje efektive në respektim të së drejtës individuale për liri, garantuar në </w:t>
      </w:r>
      <w:r w:rsidR="00E11E31"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5 të Konventës. Megjithatë, në çështjen konkrete, Gjykata Kushtetuese nuk konstatoi ndonjë problematikë </w:t>
      </w:r>
      <w:r w:rsidRPr="005D60D9">
        <w:rPr>
          <w:rFonts w:ascii="Garamond" w:eastAsiaTheme="minorHAnsi" w:hAnsi="Garamond"/>
          <w:i/>
          <w:iCs/>
          <w:color w:val="000000"/>
          <w:sz w:val="24"/>
          <w:szCs w:val="24"/>
          <w:lang w:val="sq-AL"/>
          <w14:ligatures w14:val="standardContextual"/>
        </w:rPr>
        <w:t xml:space="preserve">ratione materiae </w:t>
      </w:r>
      <w:r w:rsidRPr="005D60D9">
        <w:rPr>
          <w:rFonts w:ascii="Garamond" w:eastAsiaTheme="minorHAnsi" w:hAnsi="Garamond"/>
          <w:color w:val="000000"/>
          <w:sz w:val="24"/>
          <w:szCs w:val="24"/>
          <w:lang w:val="sq-AL"/>
          <w14:ligatures w14:val="standardContextual"/>
        </w:rPr>
        <w:t>tek ankimi</w:t>
      </w:r>
      <w:r w:rsidR="00E11E31">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të drejtën për liri, që ishte paraqitur përpara gjykatës nga kërkuesja. Përkundrazi, gjykata bëri një shqyrtim paraprak dhe konstatoi se paraburgimi i kërkueses kishte përfunduar (shih paragrafin 18 më sipër). Gjithashtu, nga praktika gjyqësore e Gjykatës Kushtetuese (shih paragrafët 39</w:t>
      </w:r>
      <w:r w:rsidR="004239D2">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41 më sipër) mund të vihet re se në të shkuarën, gjykata ka pranuar dhe ka gjykuar ankime me anë të të cilave pretendohej se kishte pasur privim të paligjshëm të lirisë. Për më tepër, Qeveria nuk bëri ndonjë parashtrim se ankimi kushtetues i kërkueses nuk duhet të konsiderohet si një ankim që përbën një zgjidhje efektive</w:t>
      </w:r>
      <w:r w:rsidR="0081642B">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sipas qëllimeve të afatit gjashtëmujor. Për sa më sipër, Gjykata është e mendimit se kërkesa u paraqit brenda afatit gjashtëmujor. </w:t>
      </w:r>
    </w:p>
    <w:p w14:paraId="1D194E87" w14:textId="27D0843B"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thekson se ankesat nuk janë as të pambështetura në fakte dhe as të papranueshme sipas shkaqeve të listuara në </w:t>
      </w:r>
      <w:r w:rsidR="0081642B"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35 të Konventës. Për këtë arsye, ato duhet të deklarohen të pranueshme. </w:t>
      </w:r>
    </w:p>
    <w:p w14:paraId="1D194E88"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B.</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Meritat </w:t>
      </w:r>
    </w:p>
    <w:p w14:paraId="1D194E89"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1.</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Parashtrimet e palëve</w:t>
      </w:r>
    </w:p>
    <w:p w14:paraId="1D194E8A" w14:textId="4D2EC33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Kërkuesja parashtroi se në urdhrin për arrestimin e saj, vendimet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të datës 5 </w:t>
      </w:r>
      <w:r w:rsidR="00332BA1"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dhe 27 </w:t>
      </w:r>
      <w:r w:rsidR="00332BA1"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nuk kishin cituar arsyet e duhura dhe të mjaftueshme dhe nuk i ishin referuar rrethanave të saj personale. Ajo shtoi se ankimet e saj ndaj arrestimit të saj nuk ishin shqyrtuar plotësisht. </w:t>
      </w:r>
    </w:p>
    <w:p w14:paraId="1D194E8B" w14:textId="6E9CEB5E"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i kundërshtoi këto argumente. Ajo parashtroi se secili prej vendimeve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kishte dhënë në mënyrë të detajuar arsyet se përse kërkuesja ishte e dyshuar për veprën për të cilën ishte akuzuar. </w:t>
      </w:r>
    </w:p>
    <w:p w14:paraId="1D194E8C" w14:textId="4A89235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vijim, Qeveria parashtroi se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kishin bërë një vlerësim të detajuar të faktorëve përkatës për nivelin e rrezikut që kërkuesja t’i fshihej drejtësisë dhe të kryente përsëri një shkelje. Në të njëjtën kohë, Qeveria deklaroi se duke qenë se kërkuesja ishte vetëdorëzuar përpara autoriteteve, në dhënien e urdhrit për burgimin e saj,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nuk i ishin referuar rrezikut që kërkuesja mund të arratisej. </w:t>
      </w:r>
    </w:p>
    <w:p w14:paraId="1D194E8D" w14:textId="3F52AEA8"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59.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Sipas këndvështrimit të Qeverisë,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 kishin marrë në konsideratë faktin se kërkuesja dyshohej se kishte shpërdorur pozitat e saj dhe ndikimin e saj ndaj zyrtarëve të tjerë publik. Për këtë arsye, sipas Qeverisë, kishte pasur mjaftueshëm element</w:t>
      </w:r>
      <w:r w:rsidR="00332BA1">
        <w:rPr>
          <w:rFonts w:ascii="Garamond" w:eastAsiaTheme="minorHAnsi" w:hAnsi="Garamond"/>
          <w:color w:val="000000"/>
          <w:sz w:val="24"/>
          <w:szCs w:val="24"/>
          <w:lang w:val="sq-AL"/>
          <w14:ligatures w14:val="standardContextual"/>
        </w:rPr>
        <w:t>e</w:t>
      </w:r>
      <w:r w:rsidRPr="005D60D9">
        <w:rPr>
          <w:rFonts w:ascii="Garamond" w:eastAsiaTheme="minorHAnsi" w:hAnsi="Garamond"/>
          <w:color w:val="000000"/>
          <w:sz w:val="24"/>
          <w:szCs w:val="24"/>
          <w:lang w:val="sq-AL"/>
          <w14:ligatures w14:val="standardContextual"/>
        </w:rPr>
        <w:t xml:space="preserve"> që tregonin për një rrezik se nëse nuk mbahej në arrest në burg, kërkuesja do të ndikonte mbi dëshmitarët dhe bashkë-të-dyshuarit e tjerë me të. </w:t>
      </w:r>
    </w:p>
    <w:p w14:paraId="1D194E8E" w14:textId="69114EC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Në lidhje me vendimin e Gjykatës Kushtetuese, Qeveria parashtroi se mbështetur në karakteristikat specifike të asaj gjykate, ishte normale që kushtet e pranueshmërisë</w:t>
      </w:r>
      <w:r w:rsidR="008973EE">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ankimet paraqitur përpara saj ishin më strikte dhe përfshinin një kërkesë</w:t>
      </w:r>
      <w:r w:rsidR="008973EE">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sipas së cilës kërkuesja duhej të justifikonte se ajo kishte një interes ligjor në paraqitjen e ankimit (shih paragrafin 27 më sipër). Sipas këndvështrimit të Qeverisë, Gjykata Kushtetuese e kishte vlerësuar këtë kërkesë në të njëjtën mënyrë</w:t>
      </w:r>
      <w:r w:rsid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që Gjykata Evropiane e të Drejtave të Njeriut vlerësonte nëse një kërkues kishte “statusin e viktimës”</w:t>
      </w:r>
      <w:r w:rsidR="008973EE">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sipas </w:t>
      </w:r>
      <w:r w:rsidR="008973EE"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34 të Konventës. Në çështjen konkrete, sipas Qeverisë, kërkuesja nuk e kishte përmbushur atë kusht, pasi në kohën kur ishte shqyrtuar ankimi i saj kushtetues, ajo kishte kaluar në arrest shtëpie; për këtë arsye, Gjykata Kushtetuese kishte vepruar në mënyrë korrekte duke kundërshtuar ankimin e saj. </w:t>
      </w:r>
    </w:p>
    <w:p w14:paraId="1D194E8F"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2.</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Vlerësimi i Gjykatës</w:t>
      </w:r>
    </w:p>
    <w:p w14:paraId="1D194E90" w14:textId="580702ED" w:rsidR="007202A0" w:rsidRPr="005D60D9" w:rsidRDefault="007A3B61"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 xml:space="preserve"> </w:t>
      </w:r>
      <w:r w:rsidR="007202A0" w:rsidRPr="005D60D9">
        <w:rPr>
          <w:rFonts w:ascii="Garamond" w:eastAsiaTheme="minorHAnsi" w:hAnsi="Garamond"/>
          <w:b/>
          <w:bCs/>
          <w:color w:val="000000"/>
          <w:sz w:val="24"/>
          <w:szCs w:val="24"/>
          <w:lang w:val="sq-AL"/>
          <w14:ligatures w14:val="standardContextual"/>
        </w:rPr>
        <w:t>a)</w:t>
      </w:r>
      <w:r w:rsidRPr="005D60D9">
        <w:rPr>
          <w:rFonts w:ascii="Garamond" w:eastAsiaTheme="minorHAnsi" w:hAnsi="Garamond"/>
          <w:b/>
          <w:bCs/>
          <w:color w:val="000000"/>
          <w:sz w:val="24"/>
          <w:szCs w:val="24"/>
          <w:lang w:val="sq-AL"/>
          <w14:ligatures w14:val="standardContextual"/>
        </w:rPr>
        <w:t xml:space="preserve"> </w:t>
      </w:r>
      <w:r w:rsidR="007202A0" w:rsidRPr="005D60D9">
        <w:rPr>
          <w:rFonts w:ascii="Garamond" w:eastAsiaTheme="minorHAnsi" w:hAnsi="Garamond"/>
          <w:b/>
          <w:bCs/>
          <w:color w:val="000000"/>
          <w:sz w:val="24"/>
          <w:szCs w:val="24"/>
          <w:lang w:val="sq-AL"/>
          <w14:ligatures w14:val="standardContextual"/>
        </w:rPr>
        <w:t>Parime të përgjithshme</w:t>
      </w:r>
    </w:p>
    <w:p w14:paraId="1D194E91" w14:textId="4F5384F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Parimet e përgjithshme të zbatueshme në lidhje me justifikimin dhe kohëzgjatjen e paraburgimit përcaktohen në vendimin </w:t>
      </w:r>
      <w:r w:rsidRPr="005D60D9">
        <w:rPr>
          <w:rFonts w:ascii="Garamond" w:eastAsiaTheme="minorHAnsi" w:hAnsi="Garamond"/>
          <w:i/>
          <w:iCs/>
          <w:color w:val="000000"/>
          <w:sz w:val="24"/>
          <w:szCs w:val="24"/>
          <w:lang w:val="sq-AL"/>
          <w14:ligatures w14:val="standardContextual"/>
        </w:rPr>
        <w:t>Buzadji kundër Republikës së Moldavisë</w:t>
      </w:r>
      <w:r w:rsidRPr="005D60D9">
        <w:rPr>
          <w:rFonts w:ascii="Garamond" w:eastAsiaTheme="minorHAnsi" w:hAnsi="Garamond"/>
          <w:color w:val="000000"/>
          <w:sz w:val="24"/>
          <w:szCs w:val="24"/>
          <w:lang w:val="sq-AL"/>
          <w14:ligatures w14:val="standardContextual"/>
        </w:rPr>
        <w:t xml:space="preserve"> [DHM], nr. 23755/07, §§ 87</w:t>
      </w:r>
      <w:r w:rsidR="008973EE">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91, 5 </w:t>
      </w:r>
      <w:r w:rsidR="008973EE" w:rsidRPr="005D60D9">
        <w:rPr>
          <w:rFonts w:ascii="Garamond" w:eastAsiaTheme="minorHAnsi" w:hAnsi="Garamond"/>
          <w:color w:val="000000"/>
          <w:sz w:val="24"/>
          <w:szCs w:val="24"/>
          <w:lang w:val="sq-AL"/>
          <w14:ligatures w14:val="standardContextual"/>
        </w:rPr>
        <w:t xml:space="preserve">korrik </w:t>
      </w:r>
      <w:r w:rsidRPr="005D60D9">
        <w:rPr>
          <w:rFonts w:ascii="Garamond" w:eastAsiaTheme="minorHAnsi" w:hAnsi="Garamond"/>
          <w:color w:val="000000"/>
          <w:sz w:val="24"/>
          <w:szCs w:val="24"/>
          <w:lang w:val="sq-AL"/>
          <w14:ligatures w14:val="standardContextual"/>
        </w:rPr>
        <w:t xml:space="preserve">2016. </w:t>
      </w:r>
    </w:p>
    <w:p w14:paraId="1D194E92" w14:textId="73193E9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lastRenderedPageBreak/>
        <w:t>62.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përsërit veçanërisht se, teksa paragrafi 1 (c) i </w:t>
      </w:r>
      <w:r w:rsidR="00326DB0"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5 parashikon arsyet mbi të cilat paraburgimi mund të jetë i lejueshëm në radhë të parë (shih </w:t>
      </w:r>
      <w:r w:rsidRPr="005D60D9">
        <w:rPr>
          <w:rFonts w:ascii="Garamond" w:eastAsiaTheme="minorHAnsi" w:hAnsi="Garamond"/>
          <w:i/>
          <w:iCs/>
          <w:color w:val="000000"/>
          <w:sz w:val="24"/>
          <w:szCs w:val="24"/>
          <w:lang w:val="sq-AL"/>
          <w14:ligatures w14:val="standardContextual"/>
        </w:rPr>
        <w:t>De Jong, Baljet dhe Va nden Brink kundër Holandës</w:t>
      </w:r>
      <w:r w:rsidRPr="005D60D9">
        <w:rPr>
          <w:rFonts w:ascii="Garamond" w:eastAsiaTheme="minorHAnsi" w:hAnsi="Garamond"/>
          <w:color w:val="000000"/>
          <w:sz w:val="24"/>
          <w:szCs w:val="24"/>
          <w:lang w:val="sq-AL"/>
          <w14:ligatures w14:val="standardContextual"/>
        </w:rPr>
        <w:t xml:space="preserve">, 22 </w:t>
      </w:r>
      <w:r w:rsidR="00326DB0" w:rsidRPr="005D60D9">
        <w:rPr>
          <w:rFonts w:ascii="Garamond" w:eastAsiaTheme="minorHAnsi" w:hAnsi="Garamond"/>
          <w:color w:val="000000"/>
          <w:sz w:val="24"/>
          <w:szCs w:val="24"/>
          <w:lang w:val="sq-AL"/>
          <w14:ligatures w14:val="standardContextual"/>
        </w:rPr>
        <w:t xml:space="preserve">maj </w:t>
      </w:r>
      <w:r w:rsidRPr="005D60D9">
        <w:rPr>
          <w:rFonts w:ascii="Garamond" w:eastAsiaTheme="minorHAnsi" w:hAnsi="Garamond"/>
          <w:color w:val="000000"/>
          <w:sz w:val="24"/>
          <w:szCs w:val="24"/>
          <w:lang w:val="sq-AL"/>
          <w14:ligatures w14:val="standardContextual"/>
        </w:rPr>
        <w:t xml:space="preserve">1984, § 44, </w:t>
      </w:r>
      <w:r w:rsidR="00326DB0" w:rsidRPr="005D60D9">
        <w:rPr>
          <w:rFonts w:ascii="Garamond" w:eastAsiaTheme="minorHAnsi" w:hAnsi="Garamond"/>
          <w:color w:val="000000"/>
          <w:sz w:val="24"/>
          <w:szCs w:val="24"/>
          <w:lang w:val="sq-AL"/>
          <w14:ligatures w14:val="standardContextual"/>
        </w:rPr>
        <w:t xml:space="preserve">seria </w:t>
      </w:r>
      <w:r w:rsidRPr="005D60D9">
        <w:rPr>
          <w:rFonts w:ascii="Garamond" w:eastAsiaTheme="minorHAnsi" w:hAnsi="Garamond"/>
          <w:color w:val="000000"/>
          <w:sz w:val="24"/>
          <w:szCs w:val="24"/>
          <w:lang w:val="sq-AL"/>
          <w14:ligatures w14:val="standardContextual"/>
        </w:rPr>
        <w:t xml:space="preserve">A nr. 77); paragrafi 3, që krijon të tërën së bashku me përcaktimin e mëparshëm, parashikon garanci të caktuara procedurale, duke përfshirë rregullin se gjykimi pezull për burgimin nuk duhet të tejkalojë afatin e arsyeshëm, duke rregulluar në këtë mënyrë kohëzgjatjen e tij (shih </w:t>
      </w:r>
      <w:r w:rsidRPr="005D60D9">
        <w:rPr>
          <w:rFonts w:ascii="Garamond" w:eastAsiaTheme="minorHAnsi" w:hAnsi="Garamond"/>
          <w:i/>
          <w:iCs/>
          <w:color w:val="000000"/>
          <w:sz w:val="24"/>
          <w:szCs w:val="24"/>
          <w:lang w:val="sq-AL"/>
          <w14:ligatures w14:val="standardContextual"/>
        </w:rPr>
        <w:t>Buzadji</w:t>
      </w:r>
      <w:r w:rsidRPr="005D60D9">
        <w:rPr>
          <w:rFonts w:ascii="Garamond" w:eastAsiaTheme="minorHAnsi" w:hAnsi="Garamond"/>
          <w:color w:val="000000"/>
          <w:sz w:val="24"/>
          <w:szCs w:val="24"/>
          <w:lang w:val="sq-AL"/>
          <w14:ligatures w14:val="standardContextual"/>
        </w:rPr>
        <w:t xml:space="preserve">, cituar më sipër, §§ 86). </w:t>
      </w:r>
    </w:p>
    <w:p w14:paraId="1D194E93" w14:textId="1E1C4BEC"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Sipas praktikës gjyqësore të konsoliduar të Gjykatës mbështetur në </w:t>
      </w:r>
      <w:r w:rsidR="00326DB0"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5 § 3, vijimi i një dyshimi të arsyeshëm është kusht </w:t>
      </w:r>
      <w:r w:rsidRPr="005D60D9">
        <w:rPr>
          <w:rFonts w:ascii="Garamond" w:eastAsiaTheme="minorHAnsi" w:hAnsi="Garamond"/>
          <w:i/>
          <w:iCs/>
          <w:color w:val="000000"/>
          <w:sz w:val="24"/>
          <w:szCs w:val="24"/>
          <w:lang w:val="sq-AL"/>
          <w14:ligatures w14:val="standardContextual"/>
        </w:rPr>
        <w:t xml:space="preserve">sinë qua non </w:t>
      </w:r>
      <w:r w:rsidRPr="005D60D9">
        <w:rPr>
          <w:rFonts w:ascii="Garamond" w:eastAsiaTheme="minorHAnsi" w:hAnsi="Garamond"/>
          <w:color w:val="000000"/>
          <w:sz w:val="24"/>
          <w:szCs w:val="24"/>
          <w:lang w:val="sq-AL"/>
          <w14:ligatures w14:val="standardContextual"/>
        </w:rPr>
        <w:t>për vlefshmërinë e paraburgimit</w:t>
      </w:r>
      <w:r w:rsidR="00326DB0">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por pasi ka kaluar një kohë e caktuar – që do të thotë që prej vendimit të parë gjyqësor që urdhëron arrestin me burg (shih </w:t>
      </w:r>
      <w:r w:rsidRPr="005D60D9">
        <w:rPr>
          <w:rFonts w:ascii="Garamond" w:eastAsiaTheme="minorHAnsi" w:hAnsi="Garamond"/>
          <w:i/>
          <w:iCs/>
          <w:color w:val="000000"/>
          <w:sz w:val="24"/>
          <w:szCs w:val="24"/>
          <w:lang w:val="sq-AL"/>
          <w14:ligatures w14:val="standardContextual"/>
        </w:rPr>
        <w:t>Buzadji</w:t>
      </w:r>
      <w:r w:rsidRPr="005D60D9">
        <w:rPr>
          <w:rFonts w:ascii="Garamond" w:eastAsiaTheme="minorHAnsi" w:hAnsi="Garamond"/>
          <w:color w:val="000000"/>
          <w:sz w:val="24"/>
          <w:szCs w:val="24"/>
          <w:lang w:val="sq-AL"/>
          <w14:ligatures w14:val="standardContextual"/>
        </w:rPr>
        <w:t>, cituar më sipër, § 102) – ai nuk është më i mjaftueshëm. Atëherë, Gjykata duhet të vendosë</w:t>
      </w:r>
      <w:r w:rsidR="00326DB0">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1</w:t>
      </w:r>
      <w:r w:rsidR="00326DB0">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nëse arsye të tjera cituar nga autoritetet gjyqësore vijojnë të justifikojnë privimin e lirisë</w:t>
      </w:r>
      <w:r w:rsidR="00326DB0">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dhe 2</w:t>
      </w:r>
      <w:r w:rsidR="00326DB0">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rastet kur këto arsye ishin “të duhurat” dhe “të mjaftueshme”, nëse autoritetet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kanë shfaqur “kujdes të veçantë” në realizimin e procesit. Justifikimi për çfarëdo periudhe burgimi, pavarësisht se sa e shkurtër ka qenë kjo periudhë burgimi, duhet të demonstrohet në mënyrë bindëse nga autoritetet (shih, midis shumë autoritetesh të tjerë, </w:t>
      </w:r>
      <w:r w:rsidRPr="005D60D9">
        <w:rPr>
          <w:rFonts w:ascii="Garamond" w:eastAsiaTheme="minorHAnsi" w:hAnsi="Garamond"/>
          <w:i/>
          <w:iCs/>
          <w:color w:val="000000"/>
          <w:sz w:val="24"/>
          <w:szCs w:val="24"/>
          <w:lang w:val="sq-AL"/>
          <w14:ligatures w14:val="standardContextual"/>
        </w:rPr>
        <w:t>Idalov kundër Rusisë</w:t>
      </w:r>
      <w:r w:rsidRPr="005D60D9">
        <w:rPr>
          <w:rFonts w:ascii="Garamond" w:eastAsiaTheme="minorHAnsi" w:hAnsi="Garamond"/>
          <w:color w:val="000000"/>
          <w:sz w:val="24"/>
          <w:szCs w:val="24"/>
          <w:lang w:val="sq-AL"/>
          <w14:ligatures w14:val="standardContextual"/>
        </w:rPr>
        <w:t xml:space="preserve"> [DHM], nr. 5826/03, § 140, 22 </w:t>
      </w:r>
      <w:r w:rsidR="00326DB0" w:rsidRPr="005D60D9">
        <w:rPr>
          <w:rFonts w:ascii="Garamond" w:eastAsiaTheme="minorHAnsi" w:hAnsi="Garamond"/>
          <w:color w:val="000000"/>
          <w:sz w:val="24"/>
          <w:szCs w:val="24"/>
          <w:lang w:val="sq-AL"/>
          <w14:ligatures w14:val="standardContextual"/>
        </w:rPr>
        <w:t xml:space="preserve">maj </w:t>
      </w:r>
      <w:r w:rsidRPr="005D60D9">
        <w:rPr>
          <w:rFonts w:ascii="Garamond" w:eastAsiaTheme="minorHAnsi" w:hAnsi="Garamond"/>
          <w:color w:val="000000"/>
          <w:sz w:val="24"/>
          <w:szCs w:val="24"/>
          <w:lang w:val="sq-AL"/>
          <w14:ligatures w14:val="standardContextual"/>
        </w:rPr>
        <w:t xml:space="preserve">2012; dhe </w:t>
      </w:r>
      <w:r w:rsidRPr="005D60D9">
        <w:rPr>
          <w:rFonts w:ascii="Garamond" w:eastAsiaTheme="minorHAnsi" w:hAnsi="Garamond"/>
          <w:i/>
          <w:iCs/>
          <w:color w:val="000000"/>
          <w:sz w:val="24"/>
          <w:szCs w:val="24"/>
          <w:lang w:val="sq-AL"/>
          <w14:ligatures w14:val="standardContextual"/>
        </w:rPr>
        <w:t>Buzadji</w:t>
      </w:r>
      <w:r w:rsidRPr="005D60D9">
        <w:rPr>
          <w:rFonts w:ascii="Garamond" w:eastAsiaTheme="minorHAnsi" w:hAnsi="Garamond"/>
          <w:color w:val="000000"/>
          <w:sz w:val="24"/>
          <w:szCs w:val="24"/>
          <w:lang w:val="sq-AL"/>
          <w14:ligatures w14:val="standardContextual"/>
        </w:rPr>
        <w:t xml:space="preserve">, cituar më sipër, § 87). </w:t>
      </w:r>
    </w:p>
    <w:p w14:paraId="1D194E94"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Justifikimet që janë vlerësuar arsye “të duhura” dhe “të mjaftueshme” – përveç ekzistencës së dyshimit të arsyeshëm – në praktikën gjyqësore të Gjykatës kanë përfshirë arsye të tilla si rreziku për t’u arratisur, rreziku i presionit ndaj dëshmitarëve ose rreziku i ndërhyrjes në prova, rreziku për marrëveshje të fshehta, rreziku për të kryer përsëri vepra penale, rreziku për të prishur rendin publik dhe nevoja për të mbrojtur personin e burgosur (ibid., § 88, me referenca të tjera). </w:t>
      </w:r>
    </w:p>
    <w:p w14:paraId="1D194E95"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Deri në dhënien e dënimit, një i pandehur duhet të konsiderohet i pafajshëm dhe qëllimi i përcaktimit konkret, kryesisht, është të kërkojë lirimin e tij ose të saj paraprak menjëherë pasi burgimi i tij ose saj nuk është më i arsyeshëm (shih, </w:t>
      </w:r>
      <w:r w:rsidRPr="005D60D9">
        <w:rPr>
          <w:rFonts w:ascii="Garamond" w:eastAsiaTheme="minorHAnsi" w:hAnsi="Garamond"/>
          <w:i/>
          <w:iCs/>
          <w:color w:val="000000"/>
          <w:sz w:val="24"/>
          <w:szCs w:val="24"/>
          <w:lang w:val="sq-AL"/>
          <w14:ligatures w14:val="standardContextual"/>
        </w:rPr>
        <w:t xml:space="preserve">McKay kundër Mbretësisë së Bashkuar </w:t>
      </w:r>
      <w:r w:rsidRPr="005D60D9">
        <w:rPr>
          <w:rFonts w:ascii="Garamond" w:eastAsiaTheme="minorHAnsi" w:hAnsi="Garamond"/>
          <w:color w:val="000000"/>
          <w:sz w:val="24"/>
          <w:szCs w:val="24"/>
          <w:lang w:val="sq-AL"/>
          <w14:ligatures w14:val="standardContextual"/>
        </w:rPr>
        <w:t xml:space="preserve">[DHM], nr. 543/03, § 41, GJEDNJ 2006-X, dhe </w:t>
      </w:r>
      <w:r w:rsidRPr="005D60D9">
        <w:rPr>
          <w:rFonts w:ascii="Garamond" w:eastAsiaTheme="minorHAnsi" w:hAnsi="Garamond"/>
          <w:i/>
          <w:iCs/>
          <w:color w:val="000000"/>
          <w:sz w:val="24"/>
          <w:szCs w:val="24"/>
          <w:lang w:val="sq-AL"/>
          <w14:ligatures w14:val="standardContextual"/>
        </w:rPr>
        <w:t>Buzadji</w:t>
      </w:r>
      <w:r w:rsidRPr="005D60D9">
        <w:rPr>
          <w:rFonts w:ascii="Garamond" w:eastAsiaTheme="minorHAnsi" w:hAnsi="Garamond"/>
          <w:color w:val="000000"/>
          <w:sz w:val="24"/>
          <w:szCs w:val="24"/>
          <w:lang w:val="sq-AL"/>
          <w14:ligatures w14:val="standardContextual"/>
        </w:rPr>
        <w:t xml:space="preserve">, cituar më sipër, § 89). </w:t>
      </w:r>
    </w:p>
    <w:p w14:paraId="1D194E96" w14:textId="62EB59E8"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Çështja nëse një periudhë e kaluar në paraburgim është e arsyeshme nuk mund të vlerësohet në mënyrë abstrakte. Aspekti nëse është e arsyeshme që një i pandehur të qëndrojë në burg duhet të vlerësohet mbi faktet e secilës çështje dhe sipas tipareve të saj specifike. Vijimësia e burgimit mund të justifikohet në një çështje të caktuar vetëm nëse ka tregues specifik për një kërkesë të vërtetë të interesit publik, e cila, pavarësisht prezumimit të pafajësisë, tejkalon rregullin e respektimit të lirisë individuale parashikuar në </w:t>
      </w:r>
      <w:r w:rsidR="00326DB0" w:rsidRPr="005D60D9">
        <w:rPr>
          <w:rFonts w:ascii="Garamond" w:eastAsiaTheme="minorHAnsi" w:hAnsi="Garamond"/>
          <w:color w:val="000000"/>
          <w:sz w:val="24"/>
          <w:szCs w:val="24"/>
          <w:lang w:val="sq-AL"/>
          <w14:ligatures w14:val="standardContextual"/>
        </w:rPr>
        <w:t xml:space="preserve">nenin </w:t>
      </w:r>
      <w:r w:rsidRPr="005D60D9">
        <w:rPr>
          <w:rFonts w:ascii="Garamond" w:eastAsiaTheme="minorHAnsi" w:hAnsi="Garamond"/>
          <w:color w:val="000000"/>
          <w:sz w:val="24"/>
          <w:szCs w:val="24"/>
          <w:lang w:val="sq-AL"/>
          <w14:ligatures w14:val="standardContextual"/>
        </w:rPr>
        <w:t xml:space="preserve">5 të Konventës (shih për shembull, </w:t>
      </w:r>
      <w:r w:rsidRPr="005D60D9">
        <w:rPr>
          <w:rFonts w:ascii="Garamond" w:eastAsiaTheme="minorHAnsi" w:hAnsi="Garamond"/>
          <w:i/>
          <w:iCs/>
          <w:color w:val="000000"/>
          <w:sz w:val="24"/>
          <w:szCs w:val="24"/>
          <w:lang w:val="sq-AL"/>
          <w14:ligatures w14:val="standardContextual"/>
        </w:rPr>
        <w:t xml:space="preserve">Labita kundër Italisë </w:t>
      </w:r>
      <w:r w:rsidRPr="005D60D9">
        <w:rPr>
          <w:rFonts w:ascii="Garamond" w:eastAsiaTheme="minorHAnsi" w:hAnsi="Garamond"/>
          <w:color w:val="000000"/>
          <w:sz w:val="24"/>
          <w:szCs w:val="24"/>
          <w:lang w:val="sq-AL"/>
          <w14:ligatures w14:val="standardContextual"/>
        </w:rPr>
        <w:t xml:space="preserve">[DHM], nr. 26772/95, § 152, GJEDNJ 2000-IV, dhe </w:t>
      </w:r>
      <w:r w:rsidRPr="005D60D9">
        <w:rPr>
          <w:rFonts w:ascii="Garamond" w:eastAsiaTheme="minorHAnsi" w:hAnsi="Garamond"/>
          <w:i/>
          <w:iCs/>
          <w:color w:val="000000"/>
          <w:sz w:val="24"/>
          <w:szCs w:val="24"/>
          <w:lang w:val="sq-AL"/>
          <w14:ligatures w14:val="standardContextual"/>
        </w:rPr>
        <w:t xml:space="preserve">Kudła kundër Polonisë </w:t>
      </w:r>
      <w:r w:rsidRPr="005D60D9">
        <w:rPr>
          <w:rFonts w:ascii="Garamond" w:eastAsiaTheme="minorHAnsi" w:hAnsi="Garamond"/>
          <w:color w:val="000000"/>
          <w:sz w:val="24"/>
          <w:szCs w:val="24"/>
          <w:lang w:val="sq-AL"/>
          <w14:ligatures w14:val="standardContextual"/>
        </w:rPr>
        <w:t xml:space="preserve">[DHM], nr. 30210/96, §§ 110 </w:t>
      </w:r>
      <w:r w:rsidRPr="005D60D9">
        <w:rPr>
          <w:rFonts w:ascii="Garamond" w:eastAsiaTheme="minorHAnsi" w:hAnsi="Garamond"/>
          <w:i/>
          <w:iCs/>
          <w:color w:val="000000"/>
          <w:sz w:val="24"/>
          <w:szCs w:val="24"/>
          <w:lang w:val="sq-AL"/>
          <w14:ligatures w14:val="standardContextual"/>
        </w:rPr>
        <w:t xml:space="preserve">et seq., </w:t>
      </w:r>
      <w:r w:rsidRPr="005D60D9">
        <w:rPr>
          <w:rFonts w:ascii="Garamond" w:eastAsiaTheme="minorHAnsi" w:hAnsi="Garamond"/>
          <w:color w:val="000000"/>
          <w:sz w:val="24"/>
          <w:szCs w:val="24"/>
          <w:lang w:val="sq-AL"/>
          <w14:ligatures w14:val="standardContextual"/>
        </w:rPr>
        <w:t xml:space="preserve">GJEDNJ 2000 XI; shih edhe </w:t>
      </w:r>
      <w:r w:rsidRPr="005D60D9">
        <w:rPr>
          <w:rFonts w:ascii="Garamond" w:eastAsiaTheme="minorHAnsi" w:hAnsi="Garamond"/>
          <w:i/>
          <w:iCs/>
          <w:color w:val="000000"/>
          <w:sz w:val="24"/>
          <w:szCs w:val="24"/>
          <w:lang w:val="sq-AL"/>
          <w14:ligatures w14:val="standardContextual"/>
        </w:rPr>
        <w:t>Buzadji</w:t>
      </w:r>
      <w:r w:rsidRPr="005D60D9">
        <w:rPr>
          <w:rFonts w:ascii="Garamond" w:eastAsiaTheme="minorHAnsi" w:hAnsi="Garamond"/>
          <w:color w:val="000000"/>
          <w:sz w:val="24"/>
          <w:szCs w:val="24"/>
          <w:lang w:val="sq-AL"/>
          <w14:ligatures w14:val="standardContextual"/>
        </w:rPr>
        <w:t>, cituar më sipër, § 90).</w:t>
      </w:r>
    </w:p>
    <w:p w14:paraId="1D194E97" w14:textId="2A256109"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radhë të parë </w:t>
      </w:r>
      <w:r w:rsidR="00326DB0">
        <w:rPr>
          <w:rFonts w:ascii="Garamond" w:eastAsiaTheme="minorHAnsi" w:hAnsi="Garamond"/>
          <w:color w:val="000000"/>
          <w:sz w:val="24"/>
          <w:szCs w:val="24"/>
          <w:lang w:val="sq-AL"/>
          <w14:ligatures w14:val="standardContextual"/>
        </w:rPr>
        <w:t>u</w:t>
      </w:r>
      <w:r w:rsidRPr="005D60D9">
        <w:rPr>
          <w:rFonts w:ascii="Garamond" w:eastAsiaTheme="minorHAnsi" w:hAnsi="Garamond"/>
          <w:color w:val="000000"/>
          <w:sz w:val="24"/>
          <w:szCs w:val="24"/>
          <w:lang w:val="sq-AL"/>
          <w14:ligatures w14:val="standardContextual"/>
        </w:rPr>
        <w:t xml:space="preserve"> takon autoriteteve gjyqësore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 të garantojnë</w:t>
      </w:r>
      <w:r w:rsidR="007148D7">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se në çdo çështje, paraburgimi i një të pandehuri nuk tejkalon afatin e arsyeshëm. Sipas rastit, duke respektuar parimin e prezumimit të pafajësisë, ata duhet të shqyrtojnë të gjitha faktet pro ose kundër ekzistencës së kërkesës përmendur më sipër të interesit publik ose që justifikojnë shmangien e </w:t>
      </w:r>
      <w:r w:rsidR="007148D7"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5, dhe më pas duhet t’i përfshijnë ato në vendimet e tyre për kërkesat për lirim (shih </w:t>
      </w:r>
      <w:r w:rsidRPr="005D60D9">
        <w:rPr>
          <w:rFonts w:ascii="Garamond" w:eastAsiaTheme="minorHAnsi" w:hAnsi="Garamond"/>
          <w:i/>
          <w:iCs/>
          <w:color w:val="000000"/>
          <w:sz w:val="24"/>
          <w:szCs w:val="24"/>
          <w:lang w:val="sq-AL"/>
          <w14:ligatures w14:val="standardContextual"/>
        </w:rPr>
        <w:t>Buzadji</w:t>
      </w:r>
      <w:r w:rsidRPr="005D60D9">
        <w:rPr>
          <w:rFonts w:ascii="Garamond" w:eastAsiaTheme="minorHAnsi" w:hAnsi="Garamond"/>
          <w:color w:val="000000"/>
          <w:sz w:val="24"/>
          <w:szCs w:val="24"/>
          <w:lang w:val="sq-AL"/>
          <w14:ligatures w14:val="standardContextual"/>
        </w:rPr>
        <w:t>, cituar më sipër, § 91). Me konsideratë të veçantë ndaj rrezikut</w:t>
      </w:r>
      <w:r w:rsidR="00AF4937">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se nëse lirohet, i dyshuari do të kryej përsëri një vepër penale, duhet t’i kushtohet vëmendje, </w:t>
      </w:r>
      <w:r w:rsidRPr="005D60D9">
        <w:rPr>
          <w:rFonts w:ascii="Garamond" w:eastAsiaTheme="minorHAnsi" w:hAnsi="Garamond"/>
          <w:i/>
          <w:iCs/>
          <w:color w:val="000000"/>
          <w:sz w:val="24"/>
          <w:szCs w:val="24"/>
          <w:lang w:val="sq-AL"/>
          <w14:ligatures w14:val="standardContextual"/>
        </w:rPr>
        <w:t xml:space="preserve">inter alia, </w:t>
      </w:r>
      <w:r w:rsidRPr="005D60D9">
        <w:rPr>
          <w:rFonts w:ascii="Garamond" w:eastAsiaTheme="minorHAnsi" w:hAnsi="Garamond"/>
          <w:color w:val="000000"/>
          <w:sz w:val="24"/>
          <w:szCs w:val="24"/>
          <w:lang w:val="sq-AL"/>
          <w14:ligatures w14:val="standardContextual"/>
        </w:rPr>
        <w:t xml:space="preserve">natyrës dhe rëndësisë së akuzave ndaj të pandehurit, të dhënat e tij ose të saj penale dhe karakteri ose sjellja e tij apo e saj, që do të tregonin se ai ose ajo e paraqiste një rrezik të tillë (shih, për shembull, </w:t>
      </w:r>
      <w:r w:rsidRPr="005D60D9">
        <w:rPr>
          <w:rFonts w:ascii="Garamond" w:eastAsiaTheme="minorHAnsi" w:hAnsi="Garamond"/>
          <w:i/>
          <w:iCs/>
          <w:color w:val="000000"/>
          <w:sz w:val="24"/>
          <w:szCs w:val="24"/>
          <w:lang w:val="sq-AL"/>
          <w14:ligatures w14:val="standardContextual"/>
        </w:rPr>
        <w:t xml:space="preserve">Merčep kundër </w:t>
      </w:r>
      <w:r w:rsidRPr="005D60D9">
        <w:rPr>
          <w:rFonts w:ascii="Garamond" w:eastAsiaTheme="minorHAnsi" w:hAnsi="Garamond"/>
          <w:color w:val="000000"/>
          <w:sz w:val="24"/>
          <w:szCs w:val="24"/>
          <w:lang w:val="sq-AL"/>
          <w14:ligatures w14:val="standardContextual"/>
        </w:rPr>
        <w:t xml:space="preserve">Kroacisë, nr. 12301/12, § 96, 26 </w:t>
      </w:r>
      <w:r w:rsidR="00AF4937"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2016; </w:t>
      </w:r>
      <w:r w:rsidRPr="005D60D9">
        <w:rPr>
          <w:rFonts w:ascii="Garamond" w:eastAsiaTheme="minorHAnsi" w:hAnsi="Garamond"/>
          <w:i/>
          <w:iCs/>
          <w:color w:val="000000"/>
          <w:sz w:val="24"/>
          <w:szCs w:val="24"/>
          <w:lang w:val="sq-AL"/>
          <w14:ligatures w14:val="standardContextual"/>
        </w:rPr>
        <w:t>Šoš kundër Kroacisë</w:t>
      </w:r>
      <w:r w:rsidRPr="005D60D9">
        <w:rPr>
          <w:rFonts w:ascii="Garamond" w:eastAsiaTheme="minorHAnsi" w:hAnsi="Garamond"/>
          <w:color w:val="000000"/>
          <w:sz w:val="24"/>
          <w:szCs w:val="24"/>
          <w:lang w:val="sq-AL"/>
          <w14:ligatures w14:val="standardContextual"/>
        </w:rPr>
        <w:t xml:space="preserve">, nr. 26211/13, § 95, 1 </w:t>
      </w:r>
      <w:r w:rsidR="00AF4937" w:rsidRPr="005D60D9">
        <w:rPr>
          <w:rFonts w:ascii="Garamond" w:eastAsiaTheme="minorHAnsi" w:hAnsi="Garamond"/>
          <w:color w:val="000000"/>
          <w:sz w:val="24"/>
          <w:szCs w:val="24"/>
          <w:lang w:val="sq-AL"/>
          <w14:ligatures w14:val="standardContextual"/>
        </w:rPr>
        <w:t xml:space="preserve">dhjetor </w:t>
      </w:r>
      <w:r w:rsidRPr="005D60D9">
        <w:rPr>
          <w:rFonts w:ascii="Garamond" w:eastAsiaTheme="minorHAnsi" w:hAnsi="Garamond"/>
          <w:color w:val="000000"/>
          <w:sz w:val="24"/>
          <w:szCs w:val="24"/>
          <w:lang w:val="sq-AL"/>
          <w14:ligatures w14:val="standardContextual"/>
        </w:rPr>
        <w:t xml:space="preserve">2015; dhe </w:t>
      </w:r>
      <w:r w:rsidRPr="005D60D9">
        <w:rPr>
          <w:rFonts w:ascii="Garamond" w:eastAsiaTheme="minorHAnsi" w:hAnsi="Garamond"/>
          <w:i/>
          <w:iCs/>
          <w:color w:val="000000"/>
          <w:sz w:val="24"/>
          <w:szCs w:val="24"/>
          <w:lang w:val="sq-AL"/>
          <w14:ligatures w14:val="standardContextual"/>
        </w:rPr>
        <w:t>Magnitskiy dhe të Tjerët kundër Rusisë</w:t>
      </w:r>
      <w:r w:rsidRPr="005D60D9">
        <w:rPr>
          <w:rFonts w:ascii="Garamond" w:eastAsiaTheme="minorHAnsi" w:hAnsi="Garamond"/>
          <w:color w:val="000000"/>
          <w:sz w:val="24"/>
          <w:szCs w:val="24"/>
          <w:lang w:val="sq-AL"/>
          <w14:ligatures w14:val="standardContextual"/>
        </w:rPr>
        <w:t xml:space="preserve">, nr. 32631/09 dhe 53799/12, § 221, 27 </w:t>
      </w:r>
      <w:r w:rsidR="00AF4937" w:rsidRPr="005D60D9">
        <w:rPr>
          <w:rFonts w:ascii="Garamond" w:eastAsiaTheme="minorHAnsi" w:hAnsi="Garamond"/>
          <w:color w:val="000000"/>
          <w:sz w:val="24"/>
          <w:szCs w:val="24"/>
          <w:lang w:val="sq-AL"/>
          <w14:ligatures w14:val="standardContextual"/>
        </w:rPr>
        <w:t xml:space="preserve">gusht </w:t>
      </w:r>
      <w:r w:rsidRPr="005D60D9">
        <w:rPr>
          <w:rFonts w:ascii="Garamond" w:eastAsiaTheme="minorHAnsi" w:hAnsi="Garamond"/>
          <w:color w:val="000000"/>
          <w:sz w:val="24"/>
          <w:szCs w:val="24"/>
          <w:lang w:val="sq-AL"/>
          <w14:ligatures w14:val="standardContextual"/>
        </w:rPr>
        <w:t xml:space="preserve">2019). </w:t>
      </w:r>
    </w:p>
    <w:p w14:paraId="1D194E98" w14:textId="38B7206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ushtrimin e funksionit të saj në këtë pikë, Gjykata duhet të garantojë se argumentet e gjykatave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në favor të dhe kundër lirimit nuk duhet të jenë “të përgjithshme dhe abstrakte” (shih, për shembull, </w:t>
      </w:r>
      <w:r w:rsidRPr="005D60D9">
        <w:rPr>
          <w:rFonts w:ascii="Garamond" w:eastAsiaTheme="minorHAnsi" w:hAnsi="Garamond"/>
          <w:i/>
          <w:iCs/>
          <w:color w:val="000000"/>
          <w:sz w:val="24"/>
          <w:szCs w:val="24"/>
          <w:lang w:val="sq-AL"/>
          <w14:ligatures w14:val="standardContextual"/>
        </w:rPr>
        <w:t xml:space="preserve">Smirnova kundër Rusisë, </w:t>
      </w:r>
      <w:r w:rsidRPr="005D60D9">
        <w:rPr>
          <w:rFonts w:ascii="Garamond" w:eastAsiaTheme="minorHAnsi" w:hAnsi="Garamond"/>
          <w:color w:val="000000"/>
          <w:sz w:val="24"/>
          <w:szCs w:val="24"/>
          <w:lang w:val="sq-AL"/>
          <w14:ligatures w14:val="standardContextual"/>
        </w:rPr>
        <w:t xml:space="preserve">nr. 46133/99 dhe 48183/99, § 63, GJEDNJ 2003-IX (ekstrakte)), por përmbajnë referenca për fakte specifike dhe rrethana personale duke justifikuar paraburgimin e një kërkuesi (shih, </w:t>
      </w:r>
      <w:r w:rsidRPr="005D60D9">
        <w:rPr>
          <w:rFonts w:ascii="Garamond" w:eastAsiaTheme="minorHAnsi" w:hAnsi="Garamond"/>
          <w:i/>
          <w:iCs/>
          <w:color w:val="000000"/>
          <w:sz w:val="24"/>
          <w:szCs w:val="24"/>
          <w:lang w:val="sq-AL"/>
          <w14:ligatures w14:val="standardContextual"/>
        </w:rPr>
        <w:t xml:space="preserve">mutatis mutandis, Panchenko kundër Rusisë, </w:t>
      </w:r>
      <w:r w:rsidRPr="005D60D9">
        <w:rPr>
          <w:rFonts w:ascii="Garamond" w:eastAsiaTheme="minorHAnsi" w:hAnsi="Garamond"/>
          <w:color w:val="000000"/>
          <w:sz w:val="24"/>
          <w:szCs w:val="24"/>
          <w:lang w:val="sq-AL"/>
          <w14:ligatures w14:val="standardContextual"/>
        </w:rPr>
        <w:t xml:space="preserve">nr. 45100/98, § 107, 8 </w:t>
      </w:r>
      <w:r w:rsidR="00AF4937"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2005). </w:t>
      </w:r>
    </w:p>
    <w:p w14:paraId="1D194E99" w14:textId="7DEFE72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69.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rastin kur rrethanat që mund të çonin në arrestimin me burg të një personi mund të ekzistonin, por nuk përmendeshin në vendimin e gjykatave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nuk është detyrë e Gjykatës </w:t>
      </w:r>
      <w:r w:rsidRPr="005D60D9">
        <w:rPr>
          <w:rFonts w:ascii="Garamond" w:eastAsiaTheme="minorHAnsi" w:hAnsi="Garamond"/>
          <w:color w:val="000000"/>
          <w:sz w:val="24"/>
          <w:szCs w:val="24"/>
          <w:lang w:val="sq-AL"/>
          <w14:ligatures w14:val="standardContextual"/>
        </w:rPr>
        <w:lastRenderedPageBreak/>
        <w:t xml:space="preserve">t’i përcaktojë ato dhe të marrë vendin e autoriteteve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w:t>
      </w:r>
      <w:r w:rsidR="009440AC">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të cilat kanë vendosur për paraburgimin e kërkuesit (shih </w:t>
      </w:r>
      <w:r w:rsidRPr="005D60D9">
        <w:rPr>
          <w:rFonts w:ascii="Garamond" w:eastAsiaTheme="minorHAnsi" w:hAnsi="Garamond"/>
          <w:i/>
          <w:iCs/>
          <w:color w:val="000000"/>
          <w:sz w:val="24"/>
          <w:szCs w:val="24"/>
          <w:lang w:val="sq-AL"/>
          <w14:ligatures w14:val="standardContextual"/>
        </w:rPr>
        <w:t xml:space="preserve">Bykov kundër Rusisë </w:t>
      </w:r>
      <w:r w:rsidRPr="005D60D9">
        <w:rPr>
          <w:rFonts w:ascii="Garamond" w:eastAsiaTheme="minorHAnsi" w:hAnsi="Garamond"/>
          <w:color w:val="000000"/>
          <w:sz w:val="24"/>
          <w:szCs w:val="24"/>
          <w:lang w:val="sq-AL"/>
          <w14:ligatures w14:val="standardContextual"/>
        </w:rPr>
        <w:t xml:space="preserve">[DHM], nr. 4378/02, §§ 66, 10 </w:t>
      </w:r>
      <w:r w:rsidR="009440AC" w:rsidRPr="005D60D9">
        <w:rPr>
          <w:rFonts w:ascii="Garamond" w:eastAsiaTheme="minorHAnsi" w:hAnsi="Garamond"/>
          <w:color w:val="000000"/>
          <w:sz w:val="24"/>
          <w:szCs w:val="24"/>
          <w:lang w:val="sq-AL"/>
          <w14:ligatures w14:val="standardContextual"/>
        </w:rPr>
        <w:t xml:space="preserve">mars </w:t>
      </w:r>
      <w:r w:rsidRPr="005D60D9">
        <w:rPr>
          <w:rFonts w:ascii="Garamond" w:eastAsiaTheme="minorHAnsi" w:hAnsi="Garamond"/>
          <w:color w:val="000000"/>
          <w:sz w:val="24"/>
          <w:szCs w:val="24"/>
          <w:lang w:val="sq-AL"/>
          <w14:ligatures w14:val="standardContextual"/>
        </w:rPr>
        <w:t xml:space="preserve">2009, dhe </w:t>
      </w:r>
      <w:r w:rsidRPr="005D60D9">
        <w:rPr>
          <w:rFonts w:ascii="Garamond" w:eastAsiaTheme="minorHAnsi" w:hAnsi="Garamond"/>
          <w:i/>
          <w:iCs/>
          <w:color w:val="000000"/>
          <w:sz w:val="24"/>
          <w:szCs w:val="24"/>
          <w:lang w:val="sq-AL"/>
          <w14:ligatures w14:val="standardContextual"/>
        </w:rPr>
        <w:t>Giorgi Nikolaishvili kundër Gjeorgjisë</w:t>
      </w:r>
      <w:r w:rsidRPr="005D60D9">
        <w:rPr>
          <w:rFonts w:ascii="Garamond" w:eastAsiaTheme="minorHAnsi" w:hAnsi="Garamond"/>
          <w:color w:val="000000"/>
          <w:sz w:val="24"/>
          <w:szCs w:val="24"/>
          <w:lang w:val="sq-AL"/>
          <w14:ligatures w14:val="standardContextual"/>
        </w:rPr>
        <w:t xml:space="preserve">, nr. 37048/04, § 77, 13 </w:t>
      </w:r>
      <w:r w:rsidR="009440AC" w:rsidRPr="005D60D9">
        <w:rPr>
          <w:rFonts w:ascii="Garamond" w:eastAsiaTheme="minorHAnsi" w:hAnsi="Garamond"/>
          <w:color w:val="000000"/>
          <w:sz w:val="24"/>
          <w:szCs w:val="24"/>
          <w:lang w:val="sq-AL"/>
          <w14:ligatures w14:val="standardContextual"/>
        </w:rPr>
        <w:t xml:space="preserve">janar </w:t>
      </w:r>
      <w:r w:rsidRPr="005D60D9">
        <w:rPr>
          <w:rFonts w:ascii="Garamond" w:eastAsiaTheme="minorHAnsi" w:hAnsi="Garamond"/>
          <w:color w:val="000000"/>
          <w:sz w:val="24"/>
          <w:szCs w:val="24"/>
          <w:lang w:val="sq-AL"/>
          <w14:ligatures w14:val="standardContextual"/>
        </w:rPr>
        <w:t>2009).</w:t>
      </w:r>
    </w:p>
    <w:p w14:paraId="1D194E9A" w14:textId="36F7095A" w:rsidR="007202A0" w:rsidRPr="005D60D9" w:rsidRDefault="007A3B61" w:rsidP="007202A0">
      <w:pPr>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 xml:space="preserve"> </w:t>
      </w:r>
      <w:r w:rsidR="007202A0" w:rsidRPr="005D60D9">
        <w:rPr>
          <w:rFonts w:ascii="Garamond" w:eastAsiaTheme="minorHAnsi" w:hAnsi="Garamond"/>
          <w:b/>
          <w:bCs/>
          <w:color w:val="000000"/>
          <w:sz w:val="24"/>
          <w:szCs w:val="24"/>
          <w:lang w:val="sq-AL"/>
          <w14:ligatures w14:val="standardContextual"/>
        </w:rPr>
        <w:t>b)</w:t>
      </w:r>
      <w:r w:rsidRPr="005D60D9">
        <w:rPr>
          <w:rFonts w:ascii="Garamond" w:eastAsiaTheme="minorHAnsi" w:hAnsi="Garamond"/>
          <w:b/>
          <w:bCs/>
          <w:color w:val="000000"/>
          <w:sz w:val="24"/>
          <w:szCs w:val="24"/>
          <w:lang w:val="sq-AL"/>
          <w14:ligatures w14:val="standardContextual"/>
        </w:rPr>
        <w:t xml:space="preserve"> </w:t>
      </w:r>
      <w:r w:rsidR="007202A0" w:rsidRPr="005D60D9">
        <w:rPr>
          <w:rFonts w:ascii="Garamond" w:eastAsiaTheme="minorHAnsi" w:hAnsi="Garamond"/>
          <w:b/>
          <w:bCs/>
          <w:color w:val="000000"/>
          <w:sz w:val="24"/>
          <w:szCs w:val="24"/>
          <w:lang w:val="sq-AL"/>
          <w14:ligatures w14:val="standardContextual"/>
        </w:rPr>
        <w:t>Zbatimi i atyre parimeve</w:t>
      </w:r>
    </w:p>
    <w:p w14:paraId="1D194E9B" w14:textId="1886491E" w:rsidR="007202A0" w:rsidRPr="005D60D9" w:rsidRDefault="007A3B61"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 xml:space="preserve"> </w:t>
      </w:r>
      <w:r w:rsidR="007202A0" w:rsidRPr="005D60D9">
        <w:rPr>
          <w:rFonts w:ascii="Garamond" w:eastAsiaTheme="minorHAnsi" w:hAnsi="Garamond"/>
          <w:i/>
          <w:iCs/>
          <w:color w:val="000000"/>
          <w:sz w:val="24"/>
          <w:szCs w:val="24"/>
          <w:lang w:val="sq-AL"/>
          <w14:ligatures w14:val="standardContextual"/>
        </w:rPr>
        <w:t>i</w:t>
      </w:r>
      <w:r w:rsidR="005D60D9">
        <w:rPr>
          <w:rFonts w:ascii="Garamond" w:eastAsiaTheme="minorHAnsi" w:hAnsi="Garamond"/>
          <w:i/>
          <w:iCs/>
          <w:color w:val="000000"/>
          <w:sz w:val="24"/>
          <w:szCs w:val="24"/>
          <w:lang w:val="sq-AL"/>
          <w14:ligatures w14:val="standardContextual"/>
        </w:rPr>
        <w:t>.</w:t>
      </w:r>
      <w:r w:rsidRPr="005D60D9">
        <w:rPr>
          <w:rFonts w:ascii="Garamond" w:eastAsiaTheme="minorHAnsi" w:hAnsi="Garamond"/>
          <w:i/>
          <w:iCs/>
          <w:color w:val="000000"/>
          <w:sz w:val="24"/>
          <w:szCs w:val="24"/>
          <w:lang w:val="sq-AL"/>
          <w14:ligatures w14:val="standardContextual"/>
        </w:rPr>
        <w:t xml:space="preserve"> </w:t>
      </w:r>
      <w:r w:rsidR="007202A0" w:rsidRPr="005D60D9">
        <w:rPr>
          <w:rFonts w:ascii="Garamond" w:eastAsiaTheme="minorHAnsi" w:hAnsi="Garamond"/>
          <w:i/>
          <w:iCs/>
          <w:color w:val="000000"/>
          <w:sz w:val="24"/>
          <w:szCs w:val="24"/>
          <w:lang w:val="sq-AL"/>
          <w14:ligatures w14:val="standardContextual"/>
        </w:rPr>
        <w:t>Proceset përpara gjykatave të rrethit dhe të apelit</w:t>
      </w:r>
    </w:p>
    <w:p w14:paraId="1D194E9C" w14:textId="61BF3B6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Kërkuesja nuk e kundërshtoi konstatimin se në periudhën konkrete ekzistonte një dyshim i arsyeshëm se ajo kishte kryer një vepër penale. Gjykata nuk ka arsye që të gjykojë ndryshe. Sipas rastit, çështja e diskutueshme është nëse, në caktimin e një dyshimi të arsyeshëm,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shtuan arsyet e duhura dhe të mjaftueshme për të mbështetur vendimet e tyre për të mbajtur në arrest me burg kërkuesen (shih paragrafin 63 më sipër). </w:t>
      </w:r>
    </w:p>
    <w:p w14:paraId="1D194E9D" w14:textId="4FE1F0E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lidhje me këtë aspekt, vendimi i datës 5 </w:t>
      </w:r>
      <w:r w:rsidR="00B70F14"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i Gjykatës së Rrethit Tiranë i referohej rrezikut se kërkuesja do t’i fshihej drejtësisë (shih paragrafin 7 më sipër), që është një nga arsyet e lejueshme për të urdhëruar arrestin me burg. Megjithatë, siç u parashtrua nga Qeveria, Gjykata e Rrethit Tiranë nuk kishte paraqitur ndonjë arsye se përse ishte e mendimit se kërkuesja paraqiste rrezikun për t’u larguar. Gjithashtu, sipas kërkesave të praktikës gjyqësore të Gjykatës, ajo nuk përcaktonte as ndonjë rrethanë personale të kërkueses që e çonin gjykatën në përfundimin se ajo ishte një rrezik për t’u arratisur (ibid.). </w:t>
      </w:r>
    </w:p>
    <w:p w14:paraId="1D194E9E" w14:textId="1350FF2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Vendimi i mëpasshëm i Gjykatës së Rrethit Tiranë i datës 27 </w:t>
      </w:r>
      <w:r w:rsidR="00B70F14"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2013 nuk përmbante ndonjë referencë për faktin se kërkuesja pretendohej të paraqiste rrezikun për t’u arratisur. Në këto rrethana, Gjykata e Rrethit Tiranë gjykonte se ekzistonte rreziku se nëse lihej e lirë, kërkuesja do të kryente përsëri një vepër penale. Edhe rreziku për të kryer përsëri një vepër penale përbën arsye për të vijuar dënimin me burgim (shih paragrafin 64 më sipër). Megjithatë, edhe gjykata e apelit mbeti vetëm me deklarimin se ekzistonte një rrezik pa shpjeguar se çfarë element</w:t>
      </w:r>
      <w:r w:rsidR="00B70F14">
        <w:rPr>
          <w:rFonts w:ascii="Garamond" w:eastAsiaTheme="minorHAnsi" w:hAnsi="Garamond"/>
          <w:color w:val="000000"/>
          <w:sz w:val="24"/>
          <w:szCs w:val="24"/>
          <w:lang w:val="sq-AL"/>
          <w14:ligatures w14:val="standardContextual"/>
        </w:rPr>
        <w:t>e</w:t>
      </w:r>
      <w:r w:rsidRPr="005D60D9">
        <w:rPr>
          <w:rFonts w:ascii="Garamond" w:eastAsiaTheme="minorHAnsi" w:hAnsi="Garamond"/>
          <w:color w:val="000000"/>
          <w:sz w:val="24"/>
          <w:szCs w:val="24"/>
          <w:lang w:val="sq-AL"/>
          <w14:ligatures w14:val="standardContextual"/>
        </w:rPr>
        <w:t xml:space="preserve">sh e kishin çuar në arritjen e atij konkluzioni (shih paragrafin 14 më sipër). Veçanërisht, përveç referencës për rëndësinë e akuzave, gjykata nuk shpjegonte se çfarë peshe i jepte, për shembull, të dhënave kriminale të mëparshme të kërkueses, nëse kishte ndonjë të tillë, dhe karakterit apo sjelljes së saj (shih paragrafin 67 më sipër). </w:t>
      </w:r>
    </w:p>
    <w:p w14:paraId="1D194E9F" w14:textId="33C9937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Në lidhje me këtë aspekt, kërkuesja parashtroi se nuk kishte ekzistuar asnjë rrezik që ajo të kryente përsëri një vepër penale, pasi ndërkohë ajo ishte pezulluar nga pozicioni i saj zyrtar (shih paragrafin 12 më sipër). Gjykata mendon së një parashtrim i tillë kërkon</w:t>
      </w:r>
      <w:r w:rsid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një përgjigje. Veçanërisht, është e paqartë se përse Gjykata e Rrethit Tiranë gjykonte se kërkuesja ende paraqiste një rrezik për të kryer përsëri një vepër, edhe pse ajo ishte pezulluar nga detyra në ushtrimin e së cilës ajo ishte akuzuar se kishte kryer veprën konkrete. </w:t>
      </w:r>
    </w:p>
    <w:p w14:paraId="1D194EA0" w14:textId="2EFCC8A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vëren se vendimet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të datave 5 dhe 27 </w:t>
      </w:r>
      <w:r w:rsidR="009A6B64"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2013 mbështeteshin kryesisht në pasojat e rënda financiare të veprës konkrete dhe në faktin se kërkuesja dyshohej se e kishte kryer këtë vepër</w:t>
      </w:r>
      <w:r w:rsidR="0091447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duke shpërdorur detyrën e saj publike (shih paragrafët 5</w:t>
      </w:r>
      <w:r w:rsidR="0091447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14 më sipër). Megjithatë, rëndësia e veprës apo pasojat e saj nuk përbëjnë arsye të pavarura që justifikojnë burgimin dhe të vetme ato mund të mos justifikojnë privimin e një të dyshuari nga liria e tij apo e saj, në rast se nuk konsiderohet vlerësimi i ekzistencës së arsyeve të lejueshme me anë të të cilave mund të urdhërohet burgimi, sipas praktikës gjyqësore të Gjykatës (shih paragrafin 64 më sipër). </w:t>
      </w:r>
    </w:p>
    <w:p w14:paraId="1D194EA1" w14:textId="2AC0B12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parashtroi se paraburgimi i kërkueses ishte justifikuar me rrezikun që ajo do të bënte presion ndaj dëshmitarëve ose do të bashkëpunonte me të bashkëpandehurit. Megjithatë, Gjykata vëren se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nuk i referoheshin një rreziku të tillë në vendimet e tyre të datave 5 dhe 27 </w:t>
      </w:r>
      <w:r w:rsidR="00914478"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2013 (shih paragrafët 5</w:t>
      </w:r>
      <w:r w:rsidR="0091447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14 më sipër). Në këtë mënyrë, nuk i takon Gjykatës që të zërë vendin e autoriteteve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dhe përcaktojë këto arsye të reja për burgim në mënyrë prapavepruese (shih paragrafin 69 më sipër). </w:t>
      </w:r>
    </w:p>
    <w:p w14:paraId="1D194EA2" w14:textId="3CDEDBE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Së fundmi, Gjykata vëren se vendimet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të datave 5 dhe 27 </w:t>
      </w:r>
      <w:r w:rsidR="00631768" w:rsidRPr="005D60D9">
        <w:rPr>
          <w:rFonts w:ascii="Garamond" w:eastAsiaTheme="minorHAnsi" w:hAnsi="Garamond"/>
          <w:color w:val="000000"/>
          <w:sz w:val="24"/>
          <w:szCs w:val="24"/>
          <w:lang w:val="sq-AL"/>
          <w14:ligatures w14:val="standardContextual"/>
        </w:rPr>
        <w:t xml:space="preserve">nëntor </w:t>
      </w:r>
      <w:r w:rsidRPr="005D60D9">
        <w:rPr>
          <w:rFonts w:ascii="Garamond" w:eastAsiaTheme="minorHAnsi" w:hAnsi="Garamond"/>
          <w:color w:val="000000"/>
          <w:sz w:val="24"/>
          <w:szCs w:val="24"/>
          <w:lang w:val="sq-AL"/>
          <w14:ligatures w14:val="standardContextual"/>
        </w:rPr>
        <w:t xml:space="preserve">2013 konstatonin se masat alternative ndaj ndalimit me burg të kërkueses konsideroheshin të papërshtatshme (shih paragrafët 8 dhe 14 më sipër). Megjithatë, përveçse një deklarate formale se masat e tjera ishin marrë në konsideratë, vendimet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nuk i referoheshin në thelb masën e konsideratës që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kishin treguar ndaj masave alternative për të siguruar që kërkuesja do të paraqitej në gjykim (shih </w:t>
      </w:r>
      <w:r w:rsidRPr="005D60D9">
        <w:rPr>
          <w:rFonts w:ascii="Garamond" w:eastAsiaTheme="minorHAnsi" w:hAnsi="Garamond"/>
          <w:i/>
          <w:iCs/>
          <w:color w:val="000000"/>
          <w:sz w:val="24"/>
          <w:szCs w:val="24"/>
          <w:lang w:val="sq-AL"/>
          <w14:ligatures w14:val="standardContextual"/>
        </w:rPr>
        <w:t>Jablonski kundër Polonisë</w:t>
      </w:r>
      <w:r w:rsidRPr="005D60D9">
        <w:rPr>
          <w:rFonts w:ascii="Garamond" w:eastAsiaTheme="minorHAnsi" w:hAnsi="Garamond"/>
          <w:color w:val="000000"/>
          <w:sz w:val="24"/>
          <w:szCs w:val="24"/>
          <w:lang w:val="sq-AL"/>
          <w14:ligatures w14:val="standardContextual"/>
        </w:rPr>
        <w:t xml:space="preserve">, nr. 33492/96, § 83, 21 </w:t>
      </w:r>
      <w:r w:rsidR="00631768" w:rsidRPr="005D60D9">
        <w:rPr>
          <w:rFonts w:ascii="Garamond" w:eastAsiaTheme="minorHAnsi" w:hAnsi="Garamond"/>
          <w:color w:val="000000"/>
          <w:sz w:val="24"/>
          <w:szCs w:val="24"/>
          <w:lang w:val="sq-AL"/>
          <w14:ligatures w14:val="standardContextual"/>
        </w:rPr>
        <w:t xml:space="preserve">dhjetor </w:t>
      </w:r>
      <w:r w:rsidRPr="005D60D9">
        <w:rPr>
          <w:rFonts w:ascii="Garamond" w:eastAsiaTheme="minorHAnsi" w:hAnsi="Garamond"/>
          <w:color w:val="000000"/>
          <w:sz w:val="24"/>
          <w:szCs w:val="24"/>
          <w:lang w:val="sq-AL"/>
          <w14:ligatures w14:val="standardContextual"/>
        </w:rPr>
        <w:t xml:space="preserve">2000). </w:t>
      </w:r>
    </w:p>
    <w:p w14:paraId="1D194EA3" w14:textId="4DB82CDD" w:rsidR="007202A0" w:rsidRPr="005D60D9" w:rsidRDefault="007A3B61"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lastRenderedPageBreak/>
        <w:t xml:space="preserve"> </w:t>
      </w:r>
      <w:r w:rsidR="007202A0" w:rsidRPr="005D60D9">
        <w:rPr>
          <w:rFonts w:ascii="Garamond" w:eastAsiaTheme="minorHAnsi" w:hAnsi="Garamond"/>
          <w:i/>
          <w:iCs/>
          <w:color w:val="000000"/>
          <w:sz w:val="24"/>
          <w:szCs w:val="24"/>
          <w:lang w:val="sq-AL"/>
          <w14:ligatures w14:val="standardContextual"/>
        </w:rPr>
        <w:t>ii</w:t>
      </w:r>
      <w:r w:rsidR="005D60D9">
        <w:rPr>
          <w:rFonts w:ascii="Garamond" w:eastAsiaTheme="minorHAnsi" w:hAnsi="Garamond"/>
          <w:i/>
          <w:iCs/>
          <w:color w:val="000000"/>
          <w:sz w:val="24"/>
          <w:szCs w:val="24"/>
          <w:lang w:val="sq-AL"/>
          <w14:ligatures w14:val="standardContextual"/>
        </w:rPr>
        <w:t>.</w:t>
      </w:r>
      <w:r w:rsidRPr="005D60D9">
        <w:rPr>
          <w:rFonts w:ascii="Garamond" w:eastAsiaTheme="minorHAnsi" w:hAnsi="Garamond"/>
          <w:i/>
          <w:iCs/>
          <w:color w:val="000000"/>
          <w:sz w:val="24"/>
          <w:szCs w:val="24"/>
          <w:lang w:val="sq-AL"/>
          <w14:ligatures w14:val="standardContextual"/>
        </w:rPr>
        <w:t xml:space="preserve"> </w:t>
      </w:r>
      <w:r w:rsidR="007202A0" w:rsidRPr="005D60D9">
        <w:rPr>
          <w:rFonts w:ascii="Garamond" w:eastAsiaTheme="minorHAnsi" w:hAnsi="Garamond"/>
          <w:i/>
          <w:iCs/>
          <w:color w:val="000000"/>
          <w:sz w:val="24"/>
          <w:szCs w:val="24"/>
          <w:lang w:val="sq-AL"/>
          <w14:ligatures w14:val="standardContextual"/>
        </w:rPr>
        <w:t>Procesi përpara gjykatave të larta</w:t>
      </w:r>
    </w:p>
    <w:p w14:paraId="1D194EA4"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Edhe pse shumë prej kërkesave të përmendura më sipër në lidhje me vendosjen e një mase ndalimi tashmë ishin njohur nga praktika gjyqësore e Gjykatës së Lartë (shih paragrafin 38 më sipër), Gjykata vëren se apelimi i kasacionit të kërkueses mbështetur në kërkesat e përmendura ishte kundërshtuar nga Gjykata e Lartë me anë të një vendimi </w:t>
      </w:r>
      <w:r w:rsidRPr="005D60D9">
        <w:rPr>
          <w:rFonts w:ascii="Garamond" w:eastAsiaTheme="minorHAnsi" w:hAnsi="Garamond"/>
          <w:i/>
          <w:iCs/>
          <w:color w:val="000000"/>
          <w:sz w:val="24"/>
          <w:szCs w:val="24"/>
          <w:lang w:val="sq-AL"/>
          <w14:ligatures w14:val="standardContextual"/>
        </w:rPr>
        <w:t xml:space="preserve">de plano </w:t>
      </w:r>
      <w:r w:rsidRPr="005D60D9">
        <w:rPr>
          <w:rFonts w:ascii="Garamond" w:eastAsiaTheme="minorHAnsi" w:hAnsi="Garamond"/>
          <w:color w:val="000000"/>
          <w:sz w:val="24"/>
          <w:szCs w:val="24"/>
          <w:lang w:val="sq-AL"/>
          <w14:ligatures w14:val="standardContextual"/>
        </w:rPr>
        <w:t xml:space="preserve">papranueshmërie. </w:t>
      </w:r>
    </w:p>
    <w:p w14:paraId="1D194EA5" w14:textId="134F1B3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Kushtetuese nuk i kishte shqyrtuar argumentet e saj për meritat, duke e kundërshtuar ankesën e saj me arsyet e vetme se ajo nuk ishte mbajtur më tej në burg. Në lidhje me këtë, në një sërë çështjesh të lidhura me rrethana të krahasueshme, Gjykata kishte konstatuar një shkelje të </w:t>
      </w:r>
      <w:r w:rsidR="00631768"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5 § 4 të Konventës</w:t>
      </w:r>
      <w:r w:rsidR="0063176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duke u mbështetur në praktikën e Gjykatës Kushtetuese të Kroacisë ku ankimet ishin deklaruar të papranueshme</w:t>
      </w:r>
      <w:r w:rsidR="0063176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rastin kur një vendim i ri</w:t>
      </w:r>
      <w:r w:rsidR="00631768">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ndalimin me burg të ankuesit ishte miratuar përpara se gjykata të jepte vendimin e saj (shih </w:t>
      </w:r>
      <w:r w:rsidRPr="005D60D9">
        <w:rPr>
          <w:rFonts w:ascii="Garamond" w:eastAsiaTheme="minorHAnsi" w:hAnsi="Garamond"/>
          <w:i/>
          <w:iCs/>
          <w:color w:val="000000"/>
          <w:sz w:val="24"/>
          <w:szCs w:val="24"/>
          <w:lang w:val="sq-AL"/>
          <w14:ligatures w14:val="standardContextual"/>
        </w:rPr>
        <w:t>Bernobić kundër Kroacisë</w:t>
      </w:r>
      <w:r w:rsidRPr="005D60D9">
        <w:rPr>
          <w:rFonts w:ascii="Garamond" w:eastAsiaTheme="minorHAnsi" w:hAnsi="Garamond"/>
          <w:color w:val="000000"/>
          <w:sz w:val="24"/>
          <w:szCs w:val="24"/>
          <w:lang w:val="sq-AL"/>
          <w14:ligatures w14:val="standardContextual"/>
        </w:rPr>
        <w:t xml:space="preserve">, nr. 57180/09, § 93, 21 </w:t>
      </w:r>
      <w:r w:rsidR="00631768"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2011; </w:t>
      </w:r>
      <w:r w:rsidRPr="005D60D9">
        <w:rPr>
          <w:rFonts w:ascii="Garamond" w:eastAsiaTheme="minorHAnsi" w:hAnsi="Garamond"/>
          <w:i/>
          <w:iCs/>
          <w:color w:val="000000"/>
          <w:sz w:val="24"/>
          <w:szCs w:val="24"/>
          <w:lang w:val="sq-AL"/>
          <w14:ligatures w14:val="standardContextual"/>
        </w:rPr>
        <w:t xml:space="preserve">Krnjak kundër Koracisë, </w:t>
      </w:r>
      <w:r w:rsidRPr="005D60D9">
        <w:rPr>
          <w:rFonts w:ascii="Garamond" w:eastAsiaTheme="minorHAnsi" w:hAnsi="Garamond"/>
          <w:color w:val="000000"/>
          <w:sz w:val="24"/>
          <w:szCs w:val="24"/>
          <w:lang w:val="sq-AL"/>
          <w14:ligatures w14:val="standardContextual"/>
        </w:rPr>
        <w:t xml:space="preserve">nr. 11228/10, § 54, 28 </w:t>
      </w:r>
      <w:r w:rsidR="00631768"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2011; </w:t>
      </w:r>
      <w:r w:rsidRPr="005D60D9">
        <w:rPr>
          <w:rFonts w:ascii="Garamond" w:eastAsiaTheme="minorHAnsi" w:hAnsi="Garamond"/>
          <w:i/>
          <w:iCs/>
          <w:color w:val="000000"/>
          <w:sz w:val="24"/>
          <w:szCs w:val="24"/>
          <w:lang w:val="sq-AL"/>
          <w14:ligatures w14:val="standardContextual"/>
        </w:rPr>
        <w:t>Šebalj kundër Kroacisë</w:t>
      </w:r>
      <w:r w:rsidRPr="005D60D9">
        <w:rPr>
          <w:rFonts w:ascii="Garamond" w:eastAsiaTheme="minorHAnsi" w:hAnsi="Garamond"/>
          <w:color w:val="000000"/>
          <w:sz w:val="24"/>
          <w:szCs w:val="24"/>
          <w:lang w:val="sq-AL"/>
          <w14:ligatures w14:val="standardContextual"/>
        </w:rPr>
        <w:t xml:space="preserve">, nr. 4429/09, § 223, 28 </w:t>
      </w:r>
      <w:r w:rsidR="00631768"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2011; dhe </w:t>
      </w:r>
      <w:r w:rsidRPr="005D60D9">
        <w:rPr>
          <w:rFonts w:ascii="Garamond" w:eastAsiaTheme="minorHAnsi" w:hAnsi="Garamond"/>
          <w:i/>
          <w:iCs/>
          <w:color w:val="000000"/>
          <w:sz w:val="24"/>
          <w:szCs w:val="24"/>
          <w:lang w:val="sq-AL"/>
          <w14:ligatures w14:val="standardContextual"/>
        </w:rPr>
        <w:t>Margaretić kundër Kroacisë</w:t>
      </w:r>
      <w:r w:rsidRPr="005D60D9">
        <w:rPr>
          <w:rFonts w:ascii="Garamond" w:eastAsiaTheme="minorHAnsi" w:hAnsi="Garamond"/>
          <w:color w:val="000000"/>
          <w:sz w:val="24"/>
          <w:szCs w:val="24"/>
          <w:lang w:val="sq-AL"/>
          <w14:ligatures w14:val="standardContextual"/>
        </w:rPr>
        <w:t xml:space="preserve">, nr. 16115/13, § 119-121, 5 </w:t>
      </w:r>
      <w:r w:rsidR="00631768"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2014). </w:t>
      </w:r>
    </w:p>
    <w:p w14:paraId="1D194EA6" w14:textId="43209373"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79.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çështjen konkrete, Gjykata vëren se kufizimi i </w:t>
      </w:r>
      <w:r w:rsidR="00631768">
        <w:rPr>
          <w:rFonts w:ascii="Garamond" w:eastAsiaTheme="minorHAnsi" w:hAnsi="Garamond"/>
          <w:color w:val="000000"/>
          <w:sz w:val="24"/>
          <w:szCs w:val="24"/>
          <w:lang w:val="sq-AL"/>
          <w14:ligatures w14:val="standardContextual"/>
        </w:rPr>
        <w:t>s</w:t>
      </w:r>
      <w:r w:rsidRPr="005D60D9">
        <w:rPr>
          <w:rFonts w:ascii="Garamond" w:eastAsiaTheme="minorHAnsi" w:hAnsi="Garamond"/>
          <w:color w:val="000000"/>
          <w:sz w:val="24"/>
          <w:szCs w:val="24"/>
          <w:lang w:val="sq-AL"/>
          <w14:ligatures w14:val="standardContextual"/>
        </w:rPr>
        <w:t xml:space="preserve">ë drejtës së kërkueses për një shqyrtim kushtetues të periudhës së parë të burgimit të saj për mungesë të një interesi legjitim, dhe rëndësie, nuk përcaktohej specifikisht nga ligji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Një kufizim i tillë ishte identifikuar nga Gjykata Kushtetuese në interpretimin e saj të </w:t>
      </w:r>
      <w:r w:rsidR="005D60D9"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134 § 2 të Kushtetutës, i cili parashikon se individët që ankohen përpara Gjykatës Kushtetuese duhet të justifikojnë një interes personal në proces (shih paragrafin 27 më sipër). </w:t>
      </w:r>
    </w:p>
    <w:p w14:paraId="1D194EA7" w14:textId="600AA06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Siç përcaktohet nga Qeveria, pozicioni i Gjykatës për të shqyrtuar pajtueshmërinë me ligjin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është i kufizuar, pasi fillimisht </w:t>
      </w:r>
      <w:r w:rsidR="006E0806">
        <w:rPr>
          <w:rFonts w:ascii="Garamond" w:eastAsiaTheme="minorHAnsi" w:hAnsi="Garamond"/>
          <w:color w:val="000000"/>
          <w:sz w:val="24"/>
          <w:szCs w:val="24"/>
          <w:lang w:val="sq-AL"/>
          <w14:ligatures w14:val="standardContextual"/>
        </w:rPr>
        <w:t>u</w:t>
      </w:r>
      <w:r w:rsidRPr="005D60D9">
        <w:rPr>
          <w:rFonts w:ascii="Garamond" w:eastAsiaTheme="minorHAnsi" w:hAnsi="Garamond"/>
          <w:color w:val="000000"/>
          <w:sz w:val="24"/>
          <w:szCs w:val="24"/>
          <w:lang w:val="sq-AL"/>
          <w14:ligatures w14:val="standardContextual"/>
        </w:rPr>
        <w:t xml:space="preserve"> takon autoriteteve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(kryesisht gjykatave) të interpretojnë dhe zbatojnë ligjin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(shih, midis autoriteteve të tjera, </w:t>
      </w:r>
      <w:r w:rsidRPr="005D60D9">
        <w:rPr>
          <w:rFonts w:ascii="Garamond" w:eastAsiaTheme="minorHAnsi" w:hAnsi="Garamond"/>
          <w:i/>
          <w:iCs/>
          <w:color w:val="000000"/>
          <w:sz w:val="24"/>
          <w:szCs w:val="24"/>
          <w:lang w:val="sq-AL"/>
          <w14:ligatures w14:val="standardContextual"/>
        </w:rPr>
        <w:t>Kudrevičius dhe të Tjerët kundër Lituanisë</w:t>
      </w:r>
      <w:r w:rsidRPr="005D60D9">
        <w:rPr>
          <w:rFonts w:ascii="Garamond" w:eastAsiaTheme="minorHAnsi" w:hAnsi="Garamond"/>
          <w:color w:val="000000"/>
          <w:sz w:val="24"/>
          <w:szCs w:val="24"/>
          <w:lang w:val="sq-AL"/>
          <w14:ligatures w14:val="standardContextual"/>
        </w:rPr>
        <w:t xml:space="preserve"> [DHM], nr. 37553/05, § 110, GJEDNJ 2015, dhe </w:t>
      </w:r>
      <w:r w:rsidRPr="005D60D9">
        <w:rPr>
          <w:rFonts w:ascii="Garamond" w:eastAsiaTheme="minorHAnsi" w:hAnsi="Garamond"/>
          <w:i/>
          <w:iCs/>
          <w:color w:val="000000"/>
          <w:sz w:val="24"/>
          <w:szCs w:val="24"/>
          <w:lang w:val="sq-AL"/>
          <w14:ligatures w14:val="standardContextual"/>
        </w:rPr>
        <w:t>Satakunnan Markkinapörssi Oy dhe Satamedia Oy kundër Finlandës</w:t>
      </w:r>
      <w:r w:rsidRPr="005D60D9">
        <w:rPr>
          <w:rFonts w:ascii="Garamond" w:eastAsiaTheme="minorHAnsi" w:hAnsi="Garamond"/>
          <w:color w:val="000000"/>
          <w:sz w:val="24"/>
          <w:szCs w:val="24"/>
          <w:lang w:val="sq-AL"/>
          <w14:ligatures w14:val="standardContextual"/>
        </w:rPr>
        <w:t xml:space="preserve"> [DHM], nr. 931/12, § 144, 27 </w:t>
      </w:r>
      <w:r w:rsidR="006E0806"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 xml:space="preserve">2017). Në rast se interpretimi nuk është arbitrar apo dukshëm i paarsyeshëm, roli i Gjykatës kufizohet në përcaktimin nëse efektet e atij interpretimi janë në përputhje me Konventën (shih </w:t>
      </w:r>
      <w:r w:rsidRPr="005D60D9">
        <w:rPr>
          <w:rFonts w:ascii="Garamond" w:eastAsiaTheme="minorHAnsi" w:hAnsi="Garamond"/>
          <w:i/>
          <w:iCs/>
          <w:color w:val="000000"/>
          <w:sz w:val="24"/>
          <w:szCs w:val="24"/>
          <w:lang w:val="sq-AL"/>
          <w14:ligatures w14:val="standardContextual"/>
        </w:rPr>
        <w:t xml:space="preserve">Radomilja dhe të Tjerët kundër Kroacisë </w:t>
      </w:r>
      <w:r w:rsidRPr="005D60D9">
        <w:rPr>
          <w:rFonts w:ascii="Garamond" w:eastAsiaTheme="minorHAnsi" w:hAnsi="Garamond"/>
          <w:color w:val="000000"/>
          <w:sz w:val="24"/>
          <w:szCs w:val="24"/>
          <w:lang w:val="sq-AL"/>
          <w14:ligatures w14:val="standardContextual"/>
        </w:rPr>
        <w:t xml:space="preserve">[DHM], nr. 37685/10 dhe 22768/12, § 149, 20 </w:t>
      </w:r>
      <w:r w:rsidR="006E0806" w:rsidRPr="005D60D9">
        <w:rPr>
          <w:rFonts w:ascii="Garamond" w:eastAsiaTheme="minorHAnsi" w:hAnsi="Garamond"/>
          <w:color w:val="000000"/>
          <w:sz w:val="24"/>
          <w:szCs w:val="24"/>
          <w:lang w:val="sq-AL"/>
          <w14:ligatures w14:val="standardContextual"/>
        </w:rPr>
        <w:t xml:space="preserve">mars </w:t>
      </w:r>
      <w:r w:rsidRPr="005D60D9">
        <w:rPr>
          <w:rFonts w:ascii="Garamond" w:eastAsiaTheme="minorHAnsi" w:hAnsi="Garamond"/>
          <w:color w:val="000000"/>
          <w:sz w:val="24"/>
          <w:szCs w:val="24"/>
          <w:lang w:val="sq-AL"/>
          <w14:ligatures w14:val="standardContextual"/>
        </w:rPr>
        <w:t xml:space="preserve">2018, dhe </w:t>
      </w:r>
      <w:r w:rsidRPr="005D60D9">
        <w:rPr>
          <w:rFonts w:ascii="Garamond" w:eastAsiaTheme="minorHAnsi" w:hAnsi="Garamond"/>
          <w:i/>
          <w:iCs/>
          <w:color w:val="000000"/>
          <w:sz w:val="24"/>
          <w:szCs w:val="24"/>
          <w:lang w:val="sq-AL"/>
          <w14:ligatures w14:val="standardContextual"/>
        </w:rPr>
        <w:t xml:space="preserve">Qendra për Demokraci dhe Shtetin e së Drejtës kundër Ukrainës, </w:t>
      </w:r>
      <w:r w:rsidRPr="005D60D9">
        <w:rPr>
          <w:rFonts w:ascii="Garamond" w:eastAsiaTheme="minorHAnsi" w:hAnsi="Garamond"/>
          <w:color w:val="000000"/>
          <w:sz w:val="24"/>
          <w:szCs w:val="24"/>
          <w:lang w:val="sq-AL"/>
          <w14:ligatures w14:val="standardContextual"/>
        </w:rPr>
        <w:t xml:space="preserve">nr. 10090/16, § 108, 26 </w:t>
      </w:r>
      <w:r w:rsidR="006E0806" w:rsidRPr="005D60D9">
        <w:rPr>
          <w:rFonts w:ascii="Garamond" w:eastAsiaTheme="minorHAnsi" w:hAnsi="Garamond"/>
          <w:color w:val="000000"/>
          <w:sz w:val="24"/>
          <w:szCs w:val="24"/>
          <w:lang w:val="sq-AL"/>
          <w14:ligatures w14:val="standardContextual"/>
        </w:rPr>
        <w:t xml:space="preserve">mars </w:t>
      </w:r>
      <w:r w:rsidRPr="005D60D9">
        <w:rPr>
          <w:rFonts w:ascii="Garamond" w:eastAsiaTheme="minorHAnsi" w:hAnsi="Garamond"/>
          <w:color w:val="000000"/>
          <w:sz w:val="24"/>
          <w:szCs w:val="24"/>
          <w:lang w:val="sq-AL"/>
          <w14:ligatures w14:val="standardContextual"/>
        </w:rPr>
        <w:t>2020, me referenca të tjera).</w:t>
      </w:r>
    </w:p>
    <w:p w14:paraId="1D194EA8" w14:textId="3706ECE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Duke u kthyer te rrethanat konkrete, Gjykata nuk është e bindur se vendimi i Gjykatës Kushtetuese i datës 24 </w:t>
      </w:r>
      <w:r w:rsidR="00BE76C9"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2016 apo vërejtjet e Qeverisë përpara Gjykatës përcaktonin bindshëm arsyet për përfundimin se kërkuesja nuk kishte interes personal në kundërshtimin e ligjshmërisë së periudhës së parë të burgimit të saj. </w:t>
      </w:r>
    </w:p>
    <w:p w14:paraId="1D194EA9" w14:textId="272DFF8F"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Për të arritur në këtë vendim, Gjykata Kushtetuese ishte mbështetur ekskluzivisht në faktin se paraburgimi i kërkueses ishte ndërprerë. Megjithatë, siç është përmendur tashmë në paragrafët 46</w:t>
      </w:r>
      <w:r w:rsidR="00BE76C9">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47 më sipër, vendimi i datës 19 </w:t>
      </w:r>
      <w:r w:rsidR="00BE76C9" w:rsidRPr="005D60D9">
        <w:rPr>
          <w:rFonts w:ascii="Garamond" w:eastAsiaTheme="minorHAnsi" w:hAnsi="Garamond"/>
          <w:color w:val="000000"/>
          <w:sz w:val="24"/>
          <w:szCs w:val="24"/>
          <w:lang w:val="sq-AL"/>
          <w14:ligatures w14:val="standardContextual"/>
        </w:rPr>
        <w:t xml:space="preserve">qershor </w:t>
      </w:r>
      <w:r w:rsidRPr="005D60D9">
        <w:rPr>
          <w:rFonts w:ascii="Garamond" w:eastAsiaTheme="minorHAnsi" w:hAnsi="Garamond"/>
          <w:color w:val="000000"/>
          <w:sz w:val="24"/>
          <w:szCs w:val="24"/>
          <w:lang w:val="sq-AL"/>
          <w14:ligatures w14:val="standardContextual"/>
        </w:rPr>
        <w:t>2014</w:t>
      </w:r>
      <w:r w:rsidR="00BE76C9">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i cili e vendoste kërkuesen në arrest shtëpie nuk përfshinte ndonjë përcaktim të ligjshmërisë për periudhën e parë të paraburgimit të saj. </w:t>
      </w:r>
    </w:p>
    <w:p w14:paraId="1D194EAA" w14:textId="1C75B27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Siç edhe përcaktohet nga gjyqtari i Gjykatës Kushtetuese me qëndrim kundërshtues, në datën kur Gjykata Kushtetuese miratoi vendimin e saj, kërkuesja kishte vuajtur tashmë privimin e lirisë së saj; në këtë mënyrë, ajo mund të përfitonte në mënyrë legjitime nga një shqyrtim kushtetues </w:t>
      </w:r>
      <w:r w:rsidRPr="005D60D9">
        <w:rPr>
          <w:rFonts w:ascii="Garamond" w:eastAsiaTheme="minorHAnsi" w:hAnsi="Garamond"/>
          <w:i/>
          <w:iCs/>
          <w:color w:val="000000"/>
          <w:sz w:val="24"/>
          <w:szCs w:val="24"/>
          <w:lang w:val="sq-AL"/>
          <w14:ligatures w14:val="standardContextual"/>
        </w:rPr>
        <w:t>post facto</w:t>
      </w:r>
      <w:r w:rsidRPr="005D60D9">
        <w:rPr>
          <w:rFonts w:ascii="Garamond" w:eastAsiaTheme="minorHAnsi" w:hAnsi="Garamond"/>
          <w:color w:val="000000"/>
          <w:sz w:val="24"/>
          <w:szCs w:val="24"/>
          <w:lang w:val="sq-AL"/>
          <w14:ligatures w14:val="standardContextual"/>
        </w:rPr>
        <w:t xml:space="preserve"> për periudhën e parë të burgimit të saj (shih paragrafët 19 dhe 45 më sipër). Një shqyrtim i plotë nga Gjykata Kushtetuese mund të kishte çuar në konstatimin se kërkuesja ishte mbajtur në burgim në shkelje të së drejtës së saj për liri. Përveç interesit moral në marrjen e rezultatit, një</w:t>
      </w:r>
      <w:r w:rsid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ndihmë e tillë deklarative mund të hapte rrugën edhe për një kërkesë për kompensim mbi arsyet për burgim të paligjshëm sipas </w:t>
      </w:r>
      <w:r w:rsidR="00BE76C9"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5 § 5 të Konventës (shih </w:t>
      </w:r>
      <w:r w:rsidRPr="005D60D9">
        <w:rPr>
          <w:rFonts w:ascii="Garamond" w:eastAsiaTheme="minorHAnsi" w:hAnsi="Garamond"/>
          <w:i/>
          <w:iCs/>
          <w:color w:val="000000"/>
          <w:sz w:val="24"/>
          <w:szCs w:val="24"/>
          <w:lang w:val="sq-AL"/>
          <w14:ligatures w14:val="standardContextual"/>
        </w:rPr>
        <w:t>S.T.S kundër Holandës</w:t>
      </w:r>
      <w:r w:rsidRPr="005D60D9">
        <w:rPr>
          <w:rFonts w:ascii="Garamond" w:eastAsiaTheme="minorHAnsi" w:hAnsi="Garamond"/>
          <w:color w:val="000000"/>
          <w:sz w:val="24"/>
          <w:szCs w:val="24"/>
          <w:lang w:val="sq-AL"/>
          <w14:ligatures w14:val="standardContextual"/>
        </w:rPr>
        <w:t xml:space="preserve">, nr. 277/05, § 61, GJEDNJ 2011), një e drejtë që njihet edhe nga ligji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(shih paragrafët 34</w:t>
      </w:r>
      <w:r w:rsidR="00BE76C9">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37 më sipër).</w:t>
      </w:r>
    </w:p>
    <w:p w14:paraId="1D194EAB" w14:textId="1CA9F2FC"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Në çdo rast, refuzimi i Gjykatës Kushtetuese për të shqyrtuar meritat e ankesës së kërkueses nënkuptonte se mangësitë në arsyetimin e vendimeve të shkallës së parë dhe të apelit nuk ishin korrigjuar, dhe cenimi i </w:t>
      </w:r>
      <w:r w:rsidR="004025E5">
        <w:rPr>
          <w:rFonts w:ascii="Garamond" w:eastAsiaTheme="minorHAnsi" w:hAnsi="Garamond"/>
          <w:color w:val="000000"/>
          <w:sz w:val="24"/>
          <w:szCs w:val="24"/>
          <w:lang w:val="sq-AL"/>
          <w14:ligatures w14:val="standardContextual"/>
        </w:rPr>
        <w:t>s</w:t>
      </w:r>
      <w:r w:rsidRPr="005D60D9">
        <w:rPr>
          <w:rFonts w:ascii="Garamond" w:eastAsiaTheme="minorHAnsi" w:hAnsi="Garamond"/>
          <w:color w:val="000000"/>
          <w:sz w:val="24"/>
          <w:szCs w:val="24"/>
          <w:lang w:val="sq-AL"/>
          <w14:ligatures w14:val="standardContextual"/>
        </w:rPr>
        <w:t xml:space="preserve">ë drejtës së kërkueses për liri nuk ishte kompensuar as nga shqyrtimi i kasacionit apo atij kushtetues në nivel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 </w:t>
      </w:r>
    </w:p>
    <w:p w14:paraId="1D194EAC" w14:textId="53E0C60A" w:rsidR="007202A0" w:rsidRPr="005D60D9" w:rsidRDefault="007A3B61"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lastRenderedPageBreak/>
        <w:t xml:space="preserve"> </w:t>
      </w:r>
      <w:r w:rsidR="007202A0" w:rsidRPr="005D60D9">
        <w:rPr>
          <w:rFonts w:ascii="Garamond" w:eastAsiaTheme="minorHAnsi" w:hAnsi="Garamond"/>
          <w:i/>
          <w:iCs/>
          <w:color w:val="000000"/>
          <w:sz w:val="24"/>
          <w:szCs w:val="24"/>
          <w:lang w:val="sq-AL"/>
          <w14:ligatures w14:val="standardContextual"/>
        </w:rPr>
        <w:t>iii</w:t>
      </w:r>
      <w:r w:rsidR="00682AF9">
        <w:rPr>
          <w:rFonts w:ascii="Garamond" w:eastAsiaTheme="minorHAnsi" w:hAnsi="Garamond"/>
          <w:i/>
          <w:iCs/>
          <w:color w:val="000000"/>
          <w:sz w:val="24"/>
          <w:szCs w:val="24"/>
          <w:lang w:val="sq-AL"/>
          <w14:ligatures w14:val="standardContextual"/>
        </w:rPr>
        <w:t xml:space="preserve">. </w:t>
      </w:r>
      <w:r w:rsidR="007202A0" w:rsidRPr="005D60D9">
        <w:rPr>
          <w:rFonts w:ascii="Garamond" w:eastAsiaTheme="minorHAnsi" w:hAnsi="Garamond"/>
          <w:i/>
          <w:iCs/>
          <w:color w:val="000000"/>
          <w:sz w:val="24"/>
          <w:szCs w:val="24"/>
          <w:lang w:val="sq-AL"/>
          <w14:ligatures w14:val="standardContextual"/>
        </w:rPr>
        <w:t xml:space="preserve">Përfundim </w:t>
      </w:r>
    </w:p>
    <w:p w14:paraId="1D194EAD"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p>
    <w:p w14:paraId="1D194EAE" w14:textId="3EDB709C"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85.</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Konstatimet e mësipërme janë të mjaftueshme për ta bërë Gjykatën të arrijë në përfundimin se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 nuk kanë dhënë arsyet e duhura dhe të mjaftueshme për të mbështetur vendimet e tyre</w:t>
      </w:r>
      <w:r w:rsidR="004025E5">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periudhën e parë të burgimit të kërkueses. </w:t>
      </w:r>
    </w:p>
    <w:p w14:paraId="1D194EAF" w14:textId="4BE6EB59"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86.</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Për këtë arsye, është shkelur </w:t>
      </w:r>
      <w:r w:rsidR="004025E5" w:rsidRPr="005D60D9">
        <w:rPr>
          <w:rFonts w:ascii="Garamond" w:eastAsiaTheme="minorHAnsi" w:hAnsi="Garamond"/>
          <w:color w:val="000000"/>
          <w:sz w:val="24"/>
          <w:szCs w:val="24"/>
          <w:lang w:val="sq-AL"/>
          <w14:ligatures w14:val="standardContextual"/>
        </w:rPr>
        <w:t xml:space="preserve">neni </w:t>
      </w:r>
      <w:r w:rsidRPr="005D60D9">
        <w:rPr>
          <w:rFonts w:ascii="Garamond" w:eastAsiaTheme="minorHAnsi" w:hAnsi="Garamond"/>
          <w:color w:val="000000"/>
          <w:sz w:val="24"/>
          <w:szCs w:val="24"/>
          <w:lang w:val="sq-AL"/>
          <w14:ligatures w14:val="standardContextual"/>
        </w:rPr>
        <w:t xml:space="preserve">5 § 3 i Konventës. </w:t>
      </w:r>
    </w:p>
    <w:p w14:paraId="1D194EB0"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III.</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ZBATIMI I NENIT 41 TË KONVENTËS</w:t>
      </w:r>
    </w:p>
    <w:p w14:paraId="1D194EB1"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87.</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Neni 41 i Konventës parashikon: </w:t>
      </w:r>
    </w:p>
    <w:p w14:paraId="1D194EB2" w14:textId="74DF8C19"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4025E5">
        <w:rPr>
          <w:rFonts w:ascii="Garamond" w:eastAsiaTheme="minorHAnsi" w:hAnsi="Garamond"/>
          <w:color w:val="000000"/>
          <w:sz w:val="24"/>
          <w:szCs w:val="24"/>
          <w:lang w:val="sq-AL"/>
          <w14:ligatures w14:val="standardContextual"/>
        </w:rPr>
        <w:t>.</w:t>
      </w:r>
    </w:p>
    <w:p w14:paraId="1D194EB3"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A.</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Dëmi </w:t>
      </w:r>
    </w:p>
    <w:p w14:paraId="1D194EB4" w14:textId="7C25D4B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88.</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Kërkuesja kërkoi 13,626,777.7 lekë (116,658.49 euro (EUR)) për dëmin pasuror dhe jopasuror. Ajo parashtroi një sërë pasqyrash bankare</w:t>
      </w:r>
      <w:r w:rsidR="00727775">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në lidhje me shpenzimet e bëra nga familja e saj në lidhje me burgimin e saj si edhe një raport nga eksperti ku përcaktohej dëmi i saj moral dhe psikologjik. </w:t>
      </w:r>
    </w:p>
    <w:p w14:paraId="1D194EB5"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89.</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parashtroi se pretendimi ishte i pambështetur në fakte dhe i tepërt. </w:t>
      </w:r>
    </w:p>
    <w:p w14:paraId="1D194EB6" w14:textId="170DB59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90.</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Gjykata nuk gjen ndonjë lidhje rastësore midis shkeljes së konstatuar dhe pretendimit për dëm pasuror. Duke pasur në konsideratë natyrën e shkeljes së konstatuar, Gjykata, duke gjykuar mbi </w:t>
      </w:r>
      <w:r w:rsidR="00E673E2" w:rsidRPr="00E673E2">
        <w:rPr>
          <w:rFonts w:ascii="Garamond" w:eastAsiaTheme="minorHAnsi" w:hAnsi="Garamond"/>
          <w:color w:val="000000"/>
          <w:sz w:val="24"/>
          <w:szCs w:val="24"/>
          <w:lang w:val="sq-AL"/>
          <w14:ligatures w14:val="standardContextual"/>
        </w:rPr>
        <w:t>baza të</w:t>
      </w:r>
      <w:r w:rsidR="00E673E2">
        <w:rPr>
          <w:rFonts w:ascii="Garamond" w:eastAsiaTheme="minorHAnsi" w:hAnsi="Garamond"/>
          <w:color w:val="000000"/>
          <w:sz w:val="24"/>
          <w:szCs w:val="24"/>
          <w:lang w:val="sq-AL"/>
          <w14:ligatures w14:val="standardContextual"/>
        </w:rPr>
        <w:t xml:space="preserve"> barabarta</w:t>
      </w:r>
      <w:r w:rsidRPr="005D60D9">
        <w:rPr>
          <w:rFonts w:ascii="Garamond" w:eastAsiaTheme="minorHAnsi" w:hAnsi="Garamond"/>
          <w:color w:val="000000"/>
          <w:sz w:val="24"/>
          <w:szCs w:val="24"/>
          <w:lang w:val="sq-AL"/>
          <w14:ligatures w14:val="standardContextual"/>
        </w:rPr>
        <w:t xml:space="preserve">, i akordon kërkueses 4,500 euro për dëmin jopasuror. </w:t>
      </w:r>
    </w:p>
    <w:p w14:paraId="1D194EB7"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b/>
          <w:bCs/>
          <w:color w:val="000000"/>
          <w:sz w:val="24"/>
          <w:szCs w:val="24"/>
          <w:lang w:val="sq-AL"/>
          <w14:ligatures w14:val="standardContextual"/>
        </w:rPr>
        <w:t>B.</w:t>
      </w:r>
      <w:r w:rsidR="007A3B61" w:rsidRPr="005D60D9">
        <w:rPr>
          <w:rFonts w:ascii="Garamond" w:eastAsiaTheme="minorHAnsi" w:hAnsi="Garamond"/>
          <w:b/>
          <w:bCs/>
          <w:color w:val="000000"/>
          <w:sz w:val="24"/>
          <w:szCs w:val="24"/>
          <w:lang w:val="sq-AL"/>
          <w14:ligatures w14:val="standardContextual"/>
        </w:rPr>
        <w:t xml:space="preserve"> </w:t>
      </w:r>
      <w:r w:rsidRPr="005D60D9">
        <w:rPr>
          <w:rFonts w:ascii="Garamond" w:eastAsiaTheme="minorHAnsi" w:hAnsi="Garamond"/>
          <w:b/>
          <w:bCs/>
          <w:color w:val="000000"/>
          <w:sz w:val="24"/>
          <w:szCs w:val="24"/>
          <w:lang w:val="sq-AL"/>
          <w14:ligatures w14:val="standardContextual"/>
        </w:rPr>
        <w:t xml:space="preserve">Kostot dhe shpenzimet </w:t>
      </w:r>
    </w:p>
    <w:p w14:paraId="1D194EB8" w14:textId="0558D046"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91.</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Gjithashtu, kërkuesja kërkoi 5,500 euro për kostot dhe shpenzimet e bëra në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 dhe në Gjykatë. Ajo paraqiti dy fatura prej 2,500 euro</w:t>
      </w:r>
      <w:r w:rsidR="00F05811">
        <w:rPr>
          <w:rFonts w:ascii="Garamond" w:eastAsiaTheme="minorHAnsi" w:hAnsi="Garamond"/>
          <w:color w:val="000000"/>
          <w:sz w:val="24"/>
          <w:szCs w:val="24"/>
          <w:lang w:val="sq-AL"/>
          <w14:ligatures w14:val="standardContextual"/>
        </w:rPr>
        <w:t>sh</w:t>
      </w:r>
      <w:r w:rsidRPr="005D60D9">
        <w:rPr>
          <w:rFonts w:ascii="Garamond" w:eastAsiaTheme="minorHAnsi" w:hAnsi="Garamond"/>
          <w:color w:val="000000"/>
          <w:sz w:val="24"/>
          <w:szCs w:val="24"/>
          <w:lang w:val="sq-AL"/>
          <w14:ligatures w14:val="standardContextual"/>
        </w:rPr>
        <w:t xml:space="preserve"> dhe 3,500 euro</w:t>
      </w:r>
      <w:r w:rsidR="00544749">
        <w:rPr>
          <w:rFonts w:ascii="Garamond" w:eastAsiaTheme="minorHAnsi" w:hAnsi="Garamond"/>
          <w:color w:val="000000"/>
          <w:sz w:val="24"/>
          <w:szCs w:val="24"/>
          <w:lang w:val="sq-AL"/>
          <w14:ligatures w14:val="standardContextual"/>
        </w:rPr>
        <w:t>sh</w:t>
      </w:r>
      <w:r w:rsidRPr="005D60D9">
        <w:rPr>
          <w:rFonts w:ascii="Garamond" w:eastAsiaTheme="minorHAnsi" w:hAnsi="Garamond"/>
          <w:color w:val="000000"/>
          <w:sz w:val="24"/>
          <w:szCs w:val="24"/>
          <w:lang w:val="sq-AL"/>
          <w14:ligatures w14:val="standardContextual"/>
        </w:rPr>
        <w:t xml:space="preserve"> në mbështetje të kërkesës së saj. </w:t>
      </w:r>
    </w:p>
    <w:p w14:paraId="1D194EB9"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92.</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Qeveria parashtroi se shumat e pretenduara ishin të tepruara dhe se faturat e dorëzuara nuk ishin paraqitur në formatet e miratuara zyrtarisht për faturat. </w:t>
      </w:r>
    </w:p>
    <w:p w14:paraId="1D194EBA" w14:textId="3750BE9E"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93.</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Sipas praktikës gjyqësore të Gjykatës, një kërkues ka të drejtën të rimbursohet për kostot dhe shpenzimet vetëm për aq sa është provuar se ato janë bërë faktikisht dhe kanë qenë të nevojshme dhe janë të arsyeshme sipas kuantit. Në çështjen konkrete, Gjykata vëren se kërkuesja ka ndjekur proceset në katër nivele të gjykatave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e përpara se të dorëzonte kërkesën e saj përpara Gjykatës. Në të shkuarën, Gjykata ka kundërshtuar argumentin e Qeverisë</w:t>
      </w:r>
      <w:r w:rsidR="00544749">
        <w:rPr>
          <w:rFonts w:ascii="Garamond" w:eastAsiaTheme="minorHAnsi" w:hAnsi="Garamond"/>
          <w:color w:val="000000"/>
          <w:sz w:val="24"/>
          <w:szCs w:val="24"/>
          <w:lang w:val="sq-AL"/>
          <w14:ligatures w14:val="standardContextual"/>
        </w:rPr>
        <w:t>,</w:t>
      </w:r>
      <w:r w:rsidRPr="005D60D9">
        <w:rPr>
          <w:rFonts w:ascii="Garamond" w:eastAsiaTheme="minorHAnsi" w:hAnsi="Garamond"/>
          <w:color w:val="000000"/>
          <w:sz w:val="24"/>
          <w:szCs w:val="24"/>
          <w:lang w:val="sq-AL"/>
          <w14:ligatures w14:val="standardContextual"/>
        </w:rPr>
        <w:t xml:space="preserve"> se pretendimet për kostot dhe shpenzimet</w:t>
      </w:r>
      <w:r w:rsid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duhet të mbështeten me fatura të miratuara zyrtarisht (shih </w:t>
      </w:r>
      <w:r w:rsidRPr="005D60D9">
        <w:rPr>
          <w:rFonts w:ascii="Garamond" w:eastAsiaTheme="minorHAnsi" w:hAnsi="Garamond"/>
          <w:i/>
          <w:iCs/>
          <w:color w:val="000000"/>
          <w:sz w:val="24"/>
          <w:szCs w:val="24"/>
          <w:lang w:val="sq-AL"/>
          <w14:ligatures w14:val="standardContextual"/>
        </w:rPr>
        <w:t xml:space="preserve">Sharxhi dhe të Tjerët kundër Shqipërisë, </w:t>
      </w:r>
      <w:r w:rsidRPr="005D60D9">
        <w:rPr>
          <w:rFonts w:ascii="Garamond" w:eastAsiaTheme="minorHAnsi" w:hAnsi="Garamond"/>
          <w:color w:val="000000"/>
          <w:sz w:val="24"/>
          <w:szCs w:val="24"/>
          <w:lang w:val="sq-AL"/>
          <w14:ligatures w14:val="standardContextual"/>
        </w:rPr>
        <w:t xml:space="preserve">nr. 10613/16, 11 </w:t>
      </w:r>
      <w:r w:rsidR="00544749" w:rsidRPr="005D60D9">
        <w:rPr>
          <w:rFonts w:ascii="Garamond" w:eastAsiaTheme="minorHAnsi" w:hAnsi="Garamond"/>
          <w:color w:val="000000"/>
          <w:sz w:val="24"/>
          <w:szCs w:val="24"/>
          <w:lang w:val="sq-AL"/>
          <w14:ligatures w14:val="standardContextual"/>
        </w:rPr>
        <w:t xml:space="preserve">janar </w:t>
      </w:r>
      <w:r w:rsidRPr="005D60D9">
        <w:rPr>
          <w:rFonts w:ascii="Garamond" w:eastAsiaTheme="minorHAnsi" w:hAnsi="Garamond"/>
          <w:color w:val="000000"/>
          <w:sz w:val="24"/>
          <w:szCs w:val="24"/>
          <w:lang w:val="sq-AL"/>
          <w14:ligatures w14:val="standardContextual"/>
        </w:rPr>
        <w:t xml:space="preserve">2018; </w:t>
      </w:r>
      <w:r w:rsidRPr="005D60D9">
        <w:rPr>
          <w:rFonts w:ascii="Garamond" w:eastAsiaTheme="minorHAnsi" w:hAnsi="Garamond"/>
          <w:i/>
          <w:iCs/>
          <w:color w:val="000000"/>
          <w:sz w:val="24"/>
          <w:szCs w:val="24"/>
          <w:lang w:val="sq-AL"/>
          <w14:ligatures w14:val="standardContextual"/>
        </w:rPr>
        <w:t>Delijorgji</w:t>
      </w:r>
      <w:r w:rsidRPr="005D60D9">
        <w:rPr>
          <w:rFonts w:ascii="Garamond" w:eastAsiaTheme="minorHAnsi" w:hAnsi="Garamond"/>
          <w:color w:val="000000"/>
          <w:sz w:val="24"/>
          <w:szCs w:val="24"/>
          <w:lang w:val="sq-AL"/>
          <w14:ligatures w14:val="standardContextual"/>
        </w:rPr>
        <w:t xml:space="preserve">, cituar më sipër, § 100; dhe </w:t>
      </w:r>
      <w:r w:rsidRPr="005D60D9">
        <w:rPr>
          <w:rFonts w:ascii="Garamond" w:eastAsiaTheme="minorHAnsi" w:hAnsi="Garamond"/>
          <w:i/>
          <w:iCs/>
          <w:color w:val="000000"/>
          <w:sz w:val="24"/>
          <w:szCs w:val="24"/>
          <w:lang w:val="sq-AL"/>
          <w14:ligatures w14:val="standardContextual"/>
        </w:rPr>
        <w:t>Luli dhe të Tjerët kundër Shqipërisë</w:t>
      </w:r>
      <w:r w:rsidRPr="005D60D9">
        <w:rPr>
          <w:rFonts w:ascii="Garamond" w:eastAsiaTheme="minorHAnsi" w:hAnsi="Garamond"/>
          <w:color w:val="000000"/>
          <w:sz w:val="24"/>
          <w:szCs w:val="24"/>
          <w:lang w:val="sq-AL"/>
          <w14:ligatures w14:val="standardContextual"/>
        </w:rPr>
        <w:t xml:space="preserve">, nr. 64480/09 dhe 5 të tjerë, § 129; 1 </w:t>
      </w:r>
      <w:r w:rsidR="00544749" w:rsidRPr="005D60D9">
        <w:rPr>
          <w:rFonts w:ascii="Garamond" w:eastAsiaTheme="minorHAnsi" w:hAnsi="Garamond"/>
          <w:color w:val="000000"/>
          <w:sz w:val="24"/>
          <w:szCs w:val="24"/>
          <w:lang w:val="sq-AL"/>
          <w14:ligatures w14:val="standardContextual"/>
        </w:rPr>
        <w:t xml:space="preserve">prill </w:t>
      </w:r>
      <w:r w:rsidRPr="005D60D9">
        <w:rPr>
          <w:rFonts w:ascii="Garamond" w:eastAsiaTheme="minorHAnsi" w:hAnsi="Garamond"/>
          <w:color w:val="000000"/>
          <w:sz w:val="24"/>
          <w:szCs w:val="24"/>
          <w:lang w:val="sq-AL"/>
          <w14:ligatures w14:val="standardContextual"/>
        </w:rPr>
        <w:t xml:space="preserve">2014). Ajo nuk gjen arsye për të arritur në një përfundim tjetër për këtë çështje. </w:t>
      </w:r>
    </w:p>
    <w:p w14:paraId="1D194EBB" w14:textId="2F21999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94.</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Duke pasur parasysh dokumentet në zotërimin e saj dhe kriteret e mësipërme, Gjykata e konsideron të arsyeshme që të akordojë shumën prej 3,500 euro</w:t>
      </w:r>
      <w:r w:rsidR="00544749">
        <w:rPr>
          <w:rFonts w:ascii="Garamond" w:eastAsiaTheme="minorHAnsi" w:hAnsi="Garamond"/>
          <w:color w:val="000000"/>
          <w:sz w:val="24"/>
          <w:szCs w:val="24"/>
          <w:lang w:val="sq-AL"/>
          <w14:ligatures w14:val="standardContextual"/>
        </w:rPr>
        <w:t>sh</w:t>
      </w:r>
      <w:r w:rsidRPr="005D60D9">
        <w:rPr>
          <w:rFonts w:ascii="Garamond" w:eastAsiaTheme="minorHAnsi" w:hAnsi="Garamond"/>
          <w:color w:val="000000"/>
          <w:sz w:val="24"/>
          <w:szCs w:val="24"/>
          <w:lang w:val="sq-AL"/>
          <w14:ligatures w14:val="standardContextual"/>
        </w:rPr>
        <w:t xml:space="preserve"> për mbulim të kostove për të gjitha kategoritë, plus taksat që mund t’i tarifohen kërkueses. </w:t>
      </w:r>
    </w:p>
    <w:p w14:paraId="1D194EBC"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PËR KËTO ARSYE, GJYKATA, NË MËNYRË UNANIME,</w:t>
      </w:r>
    </w:p>
    <w:p w14:paraId="1D194EBD" w14:textId="00A16CD8"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1.</w:t>
      </w:r>
      <w:r w:rsid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 xml:space="preserve">Rrëzon </w:t>
      </w:r>
      <w:r w:rsidRPr="005D60D9">
        <w:rPr>
          <w:rFonts w:ascii="Garamond" w:eastAsiaTheme="minorHAnsi" w:hAnsi="Garamond"/>
          <w:color w:val="000000"/>
          <w:sz w:val="24"/>
          <w:szCs w:val="24"/>
          <w:lang w:val="sq-AL"/>
          <w14:ligatures w14:val="standardContextual"/>
        </w:rPr>
        <w:t xml:space="preserve">kërkesën e Qeverisë për ta çregjistruar çështjen nga lista e saj e çështjeve; </w:t>
      </w:r>
    </w:p>
    <w:p w14:paraId="1D194EBE" w14:textId="780ED13D"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2.</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 xml:space="preserve">Deklaron </w:t>
      </w:r>
      <w:r w:rsidRPr="005D60D9">
        <w:rPr>
          <w:rFonts w:ascii="Garamond" w:eastAsiaTheme="minorHAnsi" w:hAnsi="Garamond"/>
          <w:color w:val="000000"/>
          <w:sz w:val="24"/>
          <w:szCs w:val="24"/>
          <w:lang w:val="sq-AL"/>
          <w14:ligatures w14:val="standardContextual"/>
        </w:rPr>
        <w:t xml:space="preserve">ankimin në mbështetje të </w:t>
      </w:r>
      <w:r w:rsidR="00544749" w:rsidRPr="005D60D9">
        <w:rPr>
          <w:rFonts w:ascii="Garamond" w:eastAsiaTheme="minorHAnsi" w:hAnsi="Garamond"/>
          <w:color w:val="000000"/>
          <w:sz w:val="24"/>
          <w:szCs w:val="24"/>
          <w:lang w:val="sq-AL"/>
          <w14:ligatures w14:val="standardContextual"/>
        </w:rPr>
        <w:t xml:space="preserve">nenit </w:t>
      </w:r>
      <w:r w:rsidRPr="005D60D9">
        <w:rPr>
          <w:rFonts w:ascii="Garamond" w:eastAsiaTheme="minorHAnsi" w:hAnsi="Garamond"/>
          <w:color w:val="000000"/>
          <w:sz w:val="24"/>
          <w:szCs w:val="24"/>
          <w:lang w:val="sq-AL"/>
          <w14:ligatures w14:val="standardContextual"/>
        </w:rPr>
        <w:t xml:space="preserve">5 § 3 të Konventës të pranueshëm; </w:t>
      </w:r>
    </w:p>
    <w:p w14:paraId="1D194EBF" w14:textId="5263EBA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3.</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 xml:space="preserve">Gjykon </w:t>
      </w:r>
      <w:r w:rsidRPr="005D60D9">
        <w:rPr>
          <w:rFonts w:ascii="Garamond" w:eastAsiaTheme="minorHAnsi" w:hAnsi="Garamond"/>
          <w:color w:val="000000"/>
          <w:sz w:val="24"/>
          <w:szCs w:val="24"/>
          <w:lang w:val="sq-AL"/>
          <w14:ligatures w14:val="standardContextual"/>
        </w:rPr>
        <w:t xml:space="preserve">se është shkelur </w:t>
      </w:r>
      <w:r w:rsidR="00544749" w:rsidRPr="005D60D9">
        <w:rPr>
          <w:rFonts w:ascii="Garamond" w:eastAsiaTheme="minorHAnsi" w:hAnsi="Garamond"/>
          <w:color w:val="000000"/>
          <w:sz w:val="24"/>
          <w:szCs w:val="24"/>
          <w:lang w:val="sq-AL"/>
          <w14:ligatures w14:val="standardContextual"/>
        </w:rPr>
        <w:t xml:space="preserve">neni </w:t>
      </w:r>
      <w:r w:rsidRPr="005D60D9">
        <w:rPr>
          <w:rFonts w:ascii="Garamond" w:eastAsiaTheme="minorHAnsi" w:hAnsi="Garamond"/>
          <w:color w:val="000000"/>
          <w:sz w:val="24"/>
          <w:szCs w:val="24"/>
          <w:lang w:val="sq-AL"/>
          <w14:ligatures w14:val="standardContextual"/>
        </w:rPr>
        <w:t xml:space="preserve">5 § 3 i Konventës pasi gjykatat </w:t>
      </w:r>
      <w:r w:rsidR="00883338">
        <w:rPr>
          <w:rFonts w:ascii="Garamond" w:eastAsiaTheme="minorHAnsi" w:hAnsi="Garamond"/>
          <w:color w:val="000000"/>
          <w:sz w:val="24"/>
          <w:szCs w:val="24"/>
          <w:lang w:val="sq-AL"/>
          <w14:ligatures w14:val="standardContextual"/>
        </w:rPr>
        <w:t>vendës</w:t>
      </w:r>
      <w:r w:rsidRPr="005D60D9">
        <w:rPr>
          <w:rFonts w:ascii="Garamond" w:eastAsiaTheme="minorHAnsi" w:hAnsi="Garamond"/>
          <w:color w:val="000000"/>
          <w:sz w:val="24"/>
          <w:szCs w:val="24"/>
          <w:lang w:val="sq-AL"/>
          <w14:ligatures w14:val="standardContextual"/>
        </w:rPr>
        <w:t xml:space="preserve">e nuk kanë dhënë arsyet e duhura dhe të mjaftueshme për periudhën e parë të burgimit të kërkueses; </w:t>
      </w:r>
    </w:p>
    <w:p w14:paraId="1D194EC0" w14:textId="5E544EC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4.</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Vendos</w:t>
      </w:r>
      <w:r w:rsidR="00544749">
        <w:rPr>
          <w:rFonts w:ascii="Garamond" w:eastAsiaTheme="minorHAnsi" w:hAnsi="Garamond"/>
          <w:i/>
          <w:iCs/>
          <w:color w:val="000000"/>
          <w:sz w:val="24"/>
          <w:szCs w:val="24"/>
          <w:lang w:val="sq-AL"/>
          <w14:ligatures w14:val="standardContextual"/>
        </w:rPr>
        <w:t>:</w:t>
      </w:r>
    </w:p>
    <w:p w14:paraId="1D194EC1" w14:textId="12D863D0"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a)</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se Shteti përgjegjës duhet t’i paguajë kërkueses, brenda tre muajve nga data në të cilën vendimi është bërë i formës së prerë, në përputhje me nenin 44 § 2 të Konventës, shumat e mëposhtme, që duhet të konvertohen në monedhën e </w:t>
      </w:r>
      <w:r w:rsidR="00653214" w:rsidRPr="005D60D9">
        <w:rPr>
          <w:rFonts w:ascii="Garamond" w:eastAsiaTheme="minorHAnsi" w:hAnsi="Garamond"/>
          <w:color w:val="000000"/>
          <w:sz w:val="24"/>
          <w:szCs w:val="24"/>
          <w:lang w:val="sq-AL"/>
          <w14:ligatures w14:val="standardContextual"/>
        </w:rPr>
        <w:t xml:space="preserve">shtetit </w:t>
      </w:r>
      <w:r w:rsidRPr="005D60D9">
        <w:rPr>
          <w:rFonts w:ascii="Garamond" w:eastAsiaTheme="minorHAnsi" w:hAnsi="Garamond"/>
          <w:color w:val="000000"/>
          <w:sz w:val="24"/>
          <w:szCs w:val="24"/>
          <w:lang w:val="sq-AL"/>
          <w14:ligatures w14:val="standardContextual"/>
        </w:rPr>
        <w:t xml:space="preserve">përgjegjës në normën e zbatueshme në datën e pagesës: </w:t>
      </w:r>
    </w:p>
    <w:p w14:paraId="1D194EC2" w14:textId="1279ED92"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w:t>
      </w:r>
      <w:r w:rsidR="00682AF9">
        <w:rPr>
          <w:rFonts w:ascii="Garamond" w:eastAsiaTheme="minorHAnsi" w:hAnsi="Garamond"/>
          <w:color w:val="000000"/>
          <w:sz w:val="24"/>
          <w:szCs w:val="24"/>
          <w:lang w:val="sq-AL"/>
          <w14:ligatures w14:val="standardContextual"/>
        </w:rPr>
        <w:t>.</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4,500 euro (katër mijë e pesëqind euro), plus çdo taksë që mund të tarifohet, për dëmin jopasuror; </w:t>
      </w:r>
    </w:p>
    <w:p w14:paraId="1D194EC3" w14:textId="364FFD7A"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ii</w:t>
      </w:r>
      <w:r w:rsidR="00682AF9">
        <w:rPr>
          <w:rFonts w:ascii="Garamond" w:eastAsiaTheme="minorHAnsi" w:hAnsi="Garamond"/>
          <w:color w:val="000000"/>
          <w:sz w:val="24"/>
          <w:szCs w:val="24"/>
          <w:lang w:val="sq-AL"/>
          <w14:ligatures w14:val="standardContextual"/>
        </w:rPr>
        <w:t>.</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3,500 euro (tre mijë e pesëqind euro), plus çdo taksë që mund të tarifohet për kostot dhe shpenzimet; </w:t>
      </w:r>
    </w:p>
    <w:p w14:paraId="1D194EC4" w14:textId="2EBB46E8"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lastRenderedPageBreak/>
        <w:t>b)</w:t>
      </w:r>
      <w:r w:rsidR="007A3B61" w:rsidRPr="005D60D9">
        <w:rPr>
          <w:rFonts w:ascii="Garamond" w:eastAsiaTheme="minorHAnsi" w:hAnsi="Garamond"/>
          <w:color w:val="000000"/>
          <w:sz w:val="24"/>
          <w:szCs w:val="24"/>
          <w:lang w:val="sq-AL"/>
          <w14:ligatures w14:val="standardContextual"/>
        </w:rPr>
        <w:t xml:space="preserve"> </w:t>
      </w:r>
      <w:r w:rsidRPr="005D60D9">
        <w:rPr>
          <w:rFonts w:ascii="Garamond" w:eastAsiaTheme="minorHAnsi" w:hAnsi="Garamond"/>
          <w:color w:val="000000"/>
          <w:sz w:val="24"/>
          <w:szCs w:val="24"/>
          <w:lang w:val="sq-AL"/>
          <w14:ligatures w14:val="standardContextual"/>
        </w:rPr>
        <w:t xml:space="preserve">se nga përfundimi i periudhës tremujore përmendur më sipër deri në shlyerje, për shumat e mësipërme do të paguhet interes i thjeshtë në normën e barabartë me normën margjinale të huadhënies të Bankës Qendrore Evropiane gjatë periudhës së mospagesës, plus tre për qind pikë. </w:t>
      </w:r>
    </w:p>
    <w:p w14:paraId="1D194EC5" w14:textId="77777777"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i/>
          <w:iCs/>
          <w:color w:val="000000"/>
          <w:sz w:val="24"/>
          <w:szCs w:val="24"/>
          <w:lang w:val="sq-AL"/>
          <w14:ligatures w14:val="standardContextual"/>
        </w:rPr>
        <w:t>5.</w:t>
      </w:r>
      <w:r w:rsidR="007A3B61" w:rsidRPr="005D60D9">
        <w:rPr>
          <w:rFonts w:ascii="Garamond" w:eastAsiaTheme="minorHAnsi" w:hAnsi="Garamond"/>
          <w:i/>
          <w:iCs/>
          <w:color w:val="000000"/>
          <w:sz w:val="24"/>
          <w:szCs w:val="24"/>
          <w:lang w:val="sq-AL"/>
          <w14:ligatures w14:val="standardContextual"/>
        </w:rPr>
        <w:t xml:space="preserve"> </w:t>
      </w:r>
      <w:r w:rsidRPr="005D60D9">
        <w:rPr>
          <w:rFonts w:ascii="Garamond" w:eastAsiaTheme="minorHAnsi" w:hAnsi="Garamond"/>
          <w:i/>
          <w:iCs/>
          <w:color w:val="000000"/>
          <w:sz w:val="24"/>
          <w:szCs w:val="24"/>
          <w:lang w:val="sq-AL"/>
          <w14:ligatures w14:val="standardContextual"/>
        </w:rPr>
        <w:t xml:space="preserve">Rrëzon </w:t>
      </w:r>
      <w:r w:rsidRPr="005D60D9">
        <w:rPr>
          <w:rFonts w:ascii="Garamond" w:eastAsiaTheme="minorHAnsi" w:hAnsi="Garamond"/>
          <w:color w:val="000000"/>
          <w:sz w:val="24"/>
          <w:szCs w:val="24"/>
          <w:lang w:val="sq-AL"/>
          <w14:ligatures w14:val="standardContextual"/>
        </w:rPr>
        <w:t xml:space="preserve">pjesën tjetër të pretendimit të kërkueses për kompensim të drejtë. </w:t>
      </w:r>
    </w:p>
    <w:p w14:paraId="1D194EC6" w14:textId="12723CE1" w:rsidR="007202A0" w:rsidRPr="005D60D9" w:rsidRDefault="007202A0"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 xml:space="preserve">Hartuar në gjuhën angleze dhe njoftuar me shkrim më datë 21 </w:t>
      </w:r>
      <w:r w:rsidR="00653214" w:rsidRPr="005D60D9">
        <w:rPr>
          <w:rFonts w:ascii="Garamond" w:eastAsiaTheme="minorHAnsi" w:hAnsi="Garamond"/>
          <w:color w:val="000000"/>
          <w:sz w:val="24"/>
          <w:szCs w:val="24"/>
          <w:lang w:val="sq-AL"/>
          <w14:ligatures w14:val="standardContextual"/>
        </w:rPr>
        <w:t xml:space="preserve">shkurt </w:t>
      </w:r>
      <w:r w:rsidRPr="005D60D9">
        <w:rPr>
          <w:rFonts w:ascii="Garamond" w:eastAsiaTheme="minorHAnsi" w:hAnsi="Garamond"/>
          <w:color w:val="000000"/>
          <w:sz w:val="24"/>
          <w:szCs w:val="24"/>
          <w:lang w:val="sq-AL"/>
          <w14:ligatures w14:val="standardContextual"/>
        </w:rPr>
        <w:t xml:space="preserve">2023, sipas Rregullit 77 §§ 2 dhe 3 të Rregullores së Gjykatës. </w:t>
      </w:r>
    </w:p>
    <w:p w14:paraId="0D09CB50" w14:textId="77777777" w:rsidR="00653214" w:rsidRDefault="00653214" w:rsidP="00653214">
      <w:pPr>
        <w:autoSpaceDE w:val="0"/>
        <w:autoSpaceDN w:val="0"/>
        <w:adjustRightInd w:val="0"/>
        <w:spacing w:after="0" w:line="240" w:lineRule="auto"/>
        <w:ind w:firstLine="284"/>
        <w:jc w:val="right"/>
        <w:rPr>
          <w:rFonts w:ascii="Garamond" w:eastAsiaTheme="minorHAnsi" w:hAnsi="Garamond"/>
          <w:b/>
          <w:color w:val="000000"/>
          <w:sz w:val="24"/>
          <w:szCs w:val="24"/>
          <w:lang w:val="sq-AL"/>
          <w14:ligatures w14:val="standardContextual"/>
        </w:rPr>
      </w:pPr>
    </w:p>
    <w:p w14:paraId="1D194EC7" w14:textId="6D0C5445" w:rsidR="007202A0" w:rsidRDefault="00653214" w:rsidP="00653214">
      <w:pPr>
        <w:autoSpaceDE w:val="0"/>
        <w:autoSpaceDN w:val="0"/>
        <w:adjustRightInd w:val="0"/>
        <w:spacing w:after="0" w:line="240" w:lineRule="auto"/>
        <w:ind w:firstLine="284"/>
        <w:jc w:val="right"/>
        <w:rPr>
          <w:rFonts w:ascii="Garamond" w:eastAsiaTheme="minorHAnsi" w:hAnsi="Garamond"/>
          <w:b/>
          <w:color w:val="000000"/>
          <w:sz w:val="24"/>
          <w:szCs w:val="24"/>
          <w:lang w:val="sq-AL"/>
          <w14:ligatures w14:val="standardContextual"/>
        </w:rPr>
      </w:pPr>
      <w:r w:rsidRPr="005D60D9">
        <w:rPr>
          <w:rFonts w:ascii="Garamond" w:eastAsiaTheme="minorHAnsi" w:hAnsi="Garamond"/>
          <w:b/>
          <w:color w:val="000000"/>
          <w:sz w:val="24"/>
          <w:szCs w:val="24"/>
          <w:lang w:val="sq-AL"/>
          <w14:ligatures w14:val="standardContextual"/>
        </w:rPr>
        <w:t>Milan Blaško</w:t>
      </w:r>
    </w:p>
    <w:p w14:paraId="58D690FD" w14:textId="2B02EDBA" w:rsidR="00653214" w:rsidRDefault="00653214" w:rsidP="00653214">
      <w:pPr>
        <w:autoSpaceDE w:val="0"/>
        <w:autoSpaceDN w:val="0"/>
        <w:adjustRightInd w:val="0"/>
        <w:spacing w:after="0" w:line="240" w:lineRule="auto"/>
        <w:ind w:firstLine="284"/>
        <w:jc w:val="right"/>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SEKRETAR</w:t>
      </w:r>
    </w:p>
    <w:p w14:paraId="0A5E4C15" w14:textId="77777777" w:rsidR="00653214" w:rsidRDefault="00653214" w:rsidP="00653214">
      <w:pPr>
        <w:autoSpaceDE w:val="0"/>
        <w:autoSpaceDN w:val="0"/>
        <w:adjustRightInd w:val="0"/>
        <w:spacing w:after="0" w:line="240" w:lineRule="auto"/>
        <w:ind w:firstLine="284"/>
        <w:jc w:val="right"/>
        <w:rPr>
          <w:rFonts w:ascii="Garamond" w:eastAsiaTheme="minorHAnsi" w:hAnsi="Garamond"/>
          <w:b/>
          <w:color w:val="000000"/>
          <w:sz w:val="24"/>
          <w:szCs w:val="24"/>
          <w:lang w:val="sq-AL"/>
          <w14:ligatures w14:val="standardContextual"/>
        </w:rPr>
      </w:pPr>
    </w:p>
    <w:p w14:paraId="55B71E25" w14:textId="4BC9736F" w:rsidR="00653214" w:rsidRDefault="00653214" w:rsidP="00653214">
      <w:pPr>
        <w:autoSpaceDE w:val="0"/>
        <w:autoSpaceDN w:val="0"/>
        <w:adjustRightInd w:val="0"/>
        <w:spacing w:after="0" w:line="240" w:lineRule="auto"/>
        <w:ind w:firstLine="284"/>
        <w:jc w:val="right"/>
        <w:rPr>
          <w:rFonts w:ascii="Garamond" w:eastAsiaTheme="minorHAnsi" w:hAnsi="Garamond"/>
          <w:color w:val="000000"/>
          <w:sz w:val="24"/>
          <w:szCs w:val="24"/>
          <w:lang w:val="sq-AL"/>
          <w14:ligatures w14:val="standardContextual"/>
        </w:rPr>
      </w:pPr>
      <w:r w:rsidRPr="005D60D9">
        <w:rPr>
          <w:rFonts w:ascii="Garamond" w:eastAsiaTheme="minorHAnsi" w:hAnsi="Garamond"/>
          <w:b/>
          <w:color w:val="000000"/>
          <w:sz w:val="24"/>
          <w:szCs w:val="24"/>
          <w:lang w:val="sq-AL"/>
          <w14:ligatures w14:val="standardContextual"/>
        </w:rPr>
        <w:t>Pere Pastor Vilanova</w:t>
      </w:r>
      <w:r w:rsidRPr="00653214">
        <w:rPr>
          <w:rFonts w:ascii="Garamond" w:eastAsiaTheme="minorHAnsi" w:hAnsi="Garamond"/>
          <w:color w:val="000000"/>
          <w:sz w:val="24"/>
          <w:szCs w:val="24"/>
          <w:lang w:val="sq-AL"/>
          <w14:ligatures w14:val="standardContextual"/>
        </w:rPr>
        <w:t xml:space="preserve"> </w:t>
      </w:r>
    </w:p>
    <w:p w14:paraId="2A66B231" w14:textId="68FD3A6C" w:rsidR="00653214" w:rsidRPr="005D60D9" w:rsidRDefault="00653214" w:rsidP="00653214">
      <w:pPr>
        <w:autoSpaceDE w:val="0"/>
        <w:autoSpaceDN w:val="0"/>
        <w:adjustRightInd w:val="0"/>
        <w:spacing w:after="0" w:line="240" w:lineRule="auto"/>
        <w:ind w:firstLine="284"/>
        <w:jc w:val="right"/>
        <w:rPr>
          <w:rFonts w:ascii="Garamond" w:eastAsiaTheme="minorHAnsi" w:hAnsi="Garamond"/>
          <w:color w:val="000000"/>
          <w:sz w:val="24"/>
          <w:szCs w:val="24"/>
          <w:lang w:val="sq-AL"/>
          <w14:ligatures w14:val="standardContextual"/>
        </w:rPr>
      </w:pPr>
      <w:r w:rsidRPr="005D60D9">
        <w:rPr>
          <w:rFonts w:ascii="Garamond" w:eastAsiaTheme="minorHAnsi" w:hAnsi="Garamond"/>
          <w:color w:val="000000"/>
          <w:sz w:val="24"/>
          <w:szCs w:val="24"/>
          <w:lang w:val="sq-AL"/>
          <w14:ligatures w14:val="standardContextual"/>
        </w:rPr>
        <w:t>KRYETAR</w:t>
      </w:r>
    </w:p>
    <w:p w14:paraId="1D194ECE" w14:textId="77777777" w:rsidR="00CB4F53" w:rsidRPr="005D60D9" w:rsidRDefault="00CB4F53" w:rsidP="007202A0">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p>
    <w:p w14:paraId="1D194ECF" w14:textId="77777777" w:rsidR="00FE24F0" w:rsidRPr="005D60D9" w:rsidRDefault="00FE24F0" w:rsidP="007202A0">
      <w:pPr>
        <w:spacing w:after="0" w:line="240" w:lineRule="auto"/>
        <w:ind w:firstLine="284"/>
        <w:rPr>
          <w:rFonts w:ascii="Garamond" w:hAnsi="Garamond"/>
          <w:sz w:val="24"/>
          <w:szCs w:val="24"/>
          <w:lang w:val="sq-AL"/>
        </w:rPr>
      </w:pPr>
    </w:p>
    <w:sectPr w:rsidR="00FE24F0" w:rsidRPr="005D60D9" w:rsidSect="005D60D9">
      <w:headerReference w:type="default" r:id="rId13"/>
      <w:footerReference w:type="default" r:id="rId14"/>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2B2AB" w14:textId="77777777" w:rsidR="00845F39" w:rsidRDefault="00845F39">
      <w:pPr>
        <w:spacing w:after="0" w:line="240" w:lineRule="auto"/>
      </w:pPr>
      <w:r>
        <w:separator/>
      </w:r>
    </w:p>
  </w:endnote>
  <w:endnote w:type="continuationSeparator" w:id="0">
    <w:p w14:paraId="04CD6C15" w14:textId="77777777" w:rsidR="00845F39" w:rsidRDefault="00845F39">
      <w:pPr>
        <w:spacing w:after="0" w:line="240" w:lineRule="auto"/>
      </w:pPr>
      <w:r>
        <w:continuationSeparator/>
      </w:r>
    </w:p>
  </w:endnote>
  <w:endnote w:type="continuationNotice" w:id="1">
    <w:p w14:paraId="4E0867B8" w14:textId="77777777" w:rsidR="00845F39" w:rsidRDefault="00845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884660"/>
      <w:docPartObj>
        <w:docPartGallery w:val="Page Numbers (Bottom of Page)"/>
        <w:docPartUnique/>
      </w:docPartObj>
    </w:sdtPr>
    <w:sdtEndPr>
      <w:rPr>
        <w:noProof/>
      </w:rPr>
    </w:sdtEndPr>
    <w:sdtContent>
      <w:p w14:paraId="77108172" w14:textId="542F027E" w:rsidR="00845F39" w:rsidRDefault="00845F39">
        <w:pPr>
          <w:pStyle w:val="Footer"/>
          <w:jc w:val="right"/>
        </w:pPr>
        <w:r>
          <w:fldChar w:fldCharType="begin"/>
        </w:r>
        <w:r>
          <w:instrText xml:space="preserve"> PAGE   \* MERGEFORMAT </w:instrText>
        </w:r>
        <w:r>
          <w:fldChar w:fldCharType="separate"/>
        </w:r>
        <w:r w:rsidR="00E70FEC">
          <w:rPr>
            <w:noProof/>
          </w:rPr>
          <w:t>1</w:t>
        </w:r>
        <w:r>
          <w:rPr>
            <w:noProof/>
          </w:rPr>
          <w:fldChar w:fldCharType="end"/>
        </w:r>
      </w:p>
    </w:sdtContent>
  </w:sdt>
  <w:p w14:paraId="1D194ED7" w14:textId="77777777" w:rsidR="00845F39" w:rsidRPr="00CC26CB" w:rsidRDefault="00845F39" w:rsidP="005D6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F5ABF" w14:textId="77777777" w:rsidR="00845F39" w:rsidRDefault="00845F39">
      <w:pPr>
        <w:spacing w:after="0" w:line="240" w:lineRule="auto"/>
      </w:pPr>
      <w:r>
        <w:separator/>
      </w:r>
    </w:p>
  </w:footnote>
  <w:footnote w:type="continuationSeparator" w:id="0">
    <w:p w14:paraId="04B8B0B1" w14:textId="77777777" w:rsidR="00845F39" w:rsidRDefault="00845F39">
      <w:pPr>
        <w:spacing w:after="0" w:line="240" w:lineRule="auto"/>
      </w:pPr>
      <w:r>
        <w:continuationSeparator/>
      </w:r>
    </w:p>
  </w:footnote>
  <w:footnote w:type="continuationNotice" w:id="1">
    <w:p w14:paraId="29B8AA21" w14:textId="77777777" w:rsidR="00845F39" w:rsidRDefault="00845F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4ED4" w14:textId="77777777" w:rsidR="00845F39" w:rsidRDefault="00845F39">
    <w:pPr>
      <w:pStyle w:val="Header"/>
    </w:pPr>
  </w:p>
  <w:p w14:paraId="1D194ED5" w14:textId="77777777" w:rsidR="00845F39" w:rsidRDefault="00845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1442FB4"/>
    <w:multiLevelType w:val="hybridMultilevel"/>
    <w:tmpl w:val="AC32917C"/>
    <w:lvl w:ilvl="0" w:tplc="56EC077E">
      <w:start w:val="1"/>
      <w:numFmt w:val="low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07AC75A2"/>
    <w:multiLevelType w:val="hybridMultilevel"/>
    <w:tmpl w:val="E118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2">
    <w:nsid w:val="0FB83A28"/>
    <w:multiLevelType w:val="hybridMultilevel"/>
    <w:tmpl w:val="FFDC33C8"/>
    <w:lvl w:ilvl="0" w:tplc="3D765FFE">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1092C"/>
    <w:multiLevelType w:val="hybridMultilevel"/>
    <w:tmpl w:val="DF20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14D4654"/>
    <w:multiLevelType w:val="hybridMultilevel"/>
    <w:tmpl w:val="037CEC7E"/>
    <w:lvl w:ilvl="0" w:tplc="237E1536">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972313"/>
    <w:multiLevelType w:val="hybridMultilevel"/>
    <w:tmpl w:val="6AD8540A"/>
    <w:lvl w:ilvl="0" w:tplc="847E7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77E87"/>
    <w:multiLevelType w:val="hybridMultilevel"/>
    <w:tmpl w:val="D1647662"/>
    <w:lvl w:ilvl="0" w:tplc="9E662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DC76D7"/>
    <w:multiLevelType w:val="hybridMultilevel"/>
    <w:tmpl w:val="CF72D5A4"/>
    <w:lvl w:ilvl="0" w:tplc="B0C05E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B7013F"/>
    <w:multiLevelType w:val="hybridMultilevel"/>
    <w:tmpl w:val="9FB2EC56"/>
    <w:lvl w:ilvl="0" w:tplc="C63EC6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74F3E"/>
    <w:multiLevelType w:val="hybridMultilevel"/>
    <w:tmpl w:val="1474FD60"/>
    <w:lvl w:ilvl="0" w:tplc="E53822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DA54B8"/>
    <w:multiLevelType w:val="hybridMultilevel"/>
    <w:tmpl w:val="8C88D040"/>
    <w:lvl w:ilvl="0" w:tplc="2FC88EA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4EE1529"/>
    <w:multiLevelType w:val="hybridMultilevel"/>
    <w:tmpl w:val="0ABABC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464DC9"/>
    <w:multiLevelType w:val="hybridMultilevel"/>
    <w:tmpl w:val="FE8CD0C2"/>
    <w:lvl w:ilvl="0" w:tplc="DDDA81E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936AF"/>
    <w:multiLevelType w:val="hybridMultilevel"/>
    <w:tmpl w:val="9A22B9E8"/>
    <w:lvl w:ilvl="0" w:tplc="AC9C66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EB02B8"/>
    <w:multiLevelType w:val="hybridMultilevel"/>
    <w:tmpl w:val="5F4AF18A"/>
    <w:lvl w:ilvl="0" w:tplc="12A49C3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nsid w:val="68666A0C"/>
    <w:multiLevelType w:val="hybridMultilevel"/>
    <w:tmpl w:val="80666302"/>
    <w:lvl w:ilvl="0" w:tplc="BEC41AB2">
      <w:start w:val="11"/>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08E511F"/>
    <w:multiLevelType w:val="hybridMultilevel"/>
    <w:tmpl w:val="597690A6"/>
    <w:lvl w:ilvl="0" w:tplc="5F90AF9A">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B5844C2"/>
    <w:multiLevelType w:val="hybridMultilevel"/>
    <w:tmpl w:val="64A20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8"/>
  </w:num>
  <w:num w:numId="4">
    <w:abstractNumId w:val="22"/>
  </w:num>
  <w:num w:numId="5">
    <w:abstractNumId w:val="15"/>
  </w:num>
  <w:num w:numId="6">
    <w:abstractNumId w:val="14"/>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1"/>
  </w:num>
  <w:num w:numId="17">
    <w:abstractNumId w:val="32"/>
  </w:num>
  <w:num w:numId="18">
    <w:abstractNumId w:val="19"/>
  </w:num>
  <w:num w:numId="19">
    <w:abstractNumId w:val="24"/>
  </w:num>
  <w:num w:numId="20">
    <w:abstractNumId w:val="10"/>
  </w:num>
  <w:num w:numId="21">
    <w:abstractNumId w:val="29"/>
  </w:num>
  <w:num w:numId="22">
    <w:abstractNumId w:val="18"/>
  </w:num>
  <w:num w:numId="23">
    <w:abstractNumId w:val="26"/>
  </w:num>
  <w:num w:numId="24">
    <w:abstractNumId w:val="27"/>
  </w:num>
  <w:num w:numId="25">
    <w:abstractNumId w:val="16"/>
  </w:num>
  <w:num w:numId="26">
    <w:abstractNumId w:val="25"/>
  </w:num>
  <w:num w:numId="27">
    <w:abstractNumId w:val="13"/>
  </w:num>
  <w:num w:numId="28">
    <w:abstractNumId w:val="20"/>
  </w:num>
  <w:num w:numId="29">
    <w:abstractNumId w:val="17"/>
  </w:num>
  <w:num w:numId="30">
    <w:abstractNumId w:val="12"/>
  </w:num>
  <w:num w:numId="31">
    <w:abstractNumId w:val="30"/>
  </w:num>
  <w:num w:numId="32">
    <w:abstractNumId w:val="23"/>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F5"/>
    <w:rsid w:val="000820EA"/>
    <w:rsid w:val="000B3DEC"/>
    <w:rsid w:val="000D5B81"/>
    <w:rsid w:val="000F78C8"/>
    <w:rsid w:val="001166E0"/>
    <w:rsid w:val="001E66EF"/>
    <w:rsid w:val="001F4440"/>
    <w:rsid w:val="0020369F"/>
    <w:rsid w:val="00224432"/>
    <w:rsid w:val="00283270"/>
    <w:rsid w:val="002963B6"/>
    <w:rsid w:val="002E76F0"/>
    <w:rsid w:val="003046E6"/>
    <w:rsid w:val="00326DB0"/>
    <w:rsid w:val="00332BA1"/>
    <w:rsid w:val="00391EA1"/>
    <w:rsid w:val="003F571F"/>
    <w:rsid w:val="004025E5"/>
    <w:rsid w:val="004102C6"/>
    <w:rsid w:val="004239D2"/>
    <w:rsid w:val="00453A77"/>
    <w:rsid w:val="00456674"/>
    <w:rsid w:val="0049404D"/>
    <w:rsid w:val="00497B95"/>
    <w:rsid w:val="00530CE2"/>
    <w:rsid w:val="005418FA"/>
    <w:rsid w:val="00544749"/>
    <w:rsid w:val="0055113D"/>
    <w:rsid w:val="005619EE"/>
    <w:rsid w:val="00596DB7"/>
    <w:rsid w:val="005B5E5C"/>
    <w:rsid w:val="005D60D9"/>
    <w:rsid w:val="00617776"/>
    <w:rsid w:val="00625457"/>
    <w:rsid w:val="00631768"/>
    <w:rsid w:val="006508A1"/>
    <w:rsid w:val="00653214"/>
    <w:rsid w:val="00657032"/>
    <w:rsid w:val="00682AF9"/>
    <w:rsid w:val="006A0836"/>
    <w:rsid w:val="006B4FDD"/>
    <w:rsid w:val="006C1130"/>
    <w:rsid w:val="006D6A9A"/>
    <w:rsid w:val="006E0806"/>
    <w:rsid w:val="007148D7"/>
    <w:rsid w:val="007202A0"/>
    <w:rsid w:val="00727775"/>
    <w:rsid w:val="007415AE"/>
    <w:rsid w:val="00755627"/>
    <w:rsid w:val="007A3B61"/>
    <w:rsid w:val="007A66E7"/>
    <w:rsid w:val="007B0B7B"/>
    <w:rsid w:val="0081642B"/>
    <w:rsid w:val="00845F39"/>
    <w:rsid w:val="00873B68"/>
    <w:rsid w:val="00883338"/>
    <w:rsid w:val="00895D1F"/>
    <w:rsid w:val="008973EE"/>
    <w:rsid w:val="00912C12"/>
    <w:rsid w:val="00914478"/>
    <w:rsid w:val="0092057B"/>
    <w:rsid w:val="00940353"/>
    <w:rsid w:val="00941977"/>
    <w:rsid w:val="00943CF0"/>
    <w:rsid w:val="009440AC"/>
    <w:rsid w:val="00954A03"/>
    <w:rsid w:val="009A6B64"/>
    <w:rsid w:val="009F1D1F"/>
    <w:rsid w:val="00A02971"/>
    <w:rsid w:val="00AE4F72"/>
    <w:rsid w:val="00AF30C3"/>
    <w:rsid w:val="00AF4937"/>
    <w:rsid w:val="00AF61D7"/>
    <w:rsid w:val="00B24541"/>
    <w:rsid w:val="00B70F14"/>
    <w:rsid w:val="00B83F1C"/>
    <w:rsid w:val="00B947E5"/>
    <w:rsid w:val="00B96B14"/>
    <w:rsid w:val="00BA1700"/>
    <w:rsid w:val="00BE76C9"/>
    <w:rsid w:val="00CB4F53"/>
    <w:rsid w:val="00D345DF"/>
    <w:rsid w:val="00D43562"/>
    <w:rsid w:val="00DA3C37"/>
    <w:rsid w:val="00DD2C00"/>
    <w:rsid w:val="00E11E31"/>
    <w:rsid w:val="00E36DBA"/>
    <w:rsid w:val="00E431EB"/>
    <w:rsid w:val="00E673E2"/>
    <w:rsid w:val="00E70FEC"/>
    <w:rsid w:val="00EA4022"/>
    <w:rsid w:val="00EB5339"/>
    <w:rsid w:val="00F05811"/>
    <w:rsid w:val="00F118D6"/>
    <w:rsid w:val="00F435F5"/>
    <w:rsid w:val="00F93B4D"/>
    <w:rsid w:val="00F96FFF"/>
    <w:rsid w:val="00FE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91EA1"/>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99"/>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99"/>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34"/>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99"/>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99"/>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semiHidden/>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91EA1"/>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99"/>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99"/>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34"/>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99"/>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99"/>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semiHidden/>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0E86CC949F444CA2B2BA9368ED9034A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52048-16</Nr_x002e__x0020_akti>
    <Data_x0020_e_x0020_Krijimit xmlns="0e656187-b300-4fb0-8bf4-3a50f872073c">2023-06-09T09:01:07Z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2023-06-08T22:00:00Z</Date_x0020_protokolli>
    <Titulli xmlns="0e656187-b300-4fb0-8bf4-3a50f872073c">Çështja Hysa kundër Shqipërisë ( kërkesa nr. 52048/16 )</Titulli>
    <Modifikuesi xmlns="0e656187-b300-4fb0-8bf4-3a50f872073c">alma.lisaku</Modifikuesi>
    <Nr_x002e__x0020_prot_x0020_QBZ xmlns="0e656187-b300-4fb0-8bf4-3a50f872073c">847/1</Nr_x002e__x0020_prot_x0020_QBZ>
    <Data_x0020_e_x0020_Modifikimit xmlns="0e656187-b300-4fb0-8bf4-3a50f872073c">2023-06-12T09:55:32Z</Data_x0020_e_x0020_Modifikimit>
    <Dekretuar xmlns="0e656187-b300-4fb0-8bf4-3a50f872073c">false</Dekretuar>
    <Data xmlns="0e656187-b300-4fb0-8bf4-3a50f872073c">2023-02-20T23:00:00Z</Data>
    <Nr_x002e__x0020_protokolli_x0020_i_x0020_aktit xmlns="0e656187-b300-4fb0-8bf4-3a50f872073c">3709/1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0E86CC949F444CA2B2BA9368ED9034A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8CB87-624E-421D-98D8-9E2273FC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906113-AAC7-420D-A958-86589BCB679B}">
  <ds:schemaRefs>
    <ds:schemaRef ds:uri="http://schemas.microsoft.com/sharepoint/v3/contenttype/forms"/>
  </ds:schemaRefs>
</ds:datastoreItem>
</file>

<file path=customXml/itemProps3.xml><?xml version="1.0" encoding="utf-8"?>
<ds:datastoreItem xmlns:ds="http://schemas.openxmlformats.org/officeDocument/2006/customXml" ds:itemID="{4B890D9A-6B70-40DD-8B8A-728D6F45F4D3}">
  <ds:schemaRefs>
    <ds:schemaRef ds:uri="http://schemas.openxmlformats.org/package/2006/metadata/core-propertie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7C326B2-398F-4179-AB8E-262B301A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BD4D730-2487-42FE-B7CA-12A51556E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7287</Words>
  <Characters>41537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Çështja Hysa kundër Shqipërisë ( kërkesa nr. 52048/16 )</vt:lpstr>
    </vt:vector>
  </TitlesOfParts>
  <Company/>
  <LinksUpToDate>false</LinksUpToDate>
  <CharactersWithSpaces>48727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Hysa kundër Shqipërisë ( kërkesa nr. 52048/16 )</dc:title>
  <dc:creator>Mirela Prifti</dc:creator>
  <cp:lastModifiedBy>Jonida Zaharia</cp:lastModifiedBy>
  <cp:revision>2</cp:revision>
  <dcterms:created xsi:type="dcterms:W3CDTF">2024-01-11T12:09:00Z</dcterms:created>
  <dcterms:modified xsi:type="dcterms:W3CDTF">2024-01-11T12:09:00Z</dcterms:modified>
</cp:coreProperties>
</file>