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C9DF2E" w14:textId="70DE2110" w:rsidR="0051447D" w:rsidRPr="00582729" w:rsidRDefault="0051447D" w:rsidP="0051447D">
      <w:pPr>
        <w:tabs>
          <w:tab w:val="left" w:pos="5529"/>
        </w:tabs>
        <w:spacing w:after="0" w:line="240" w:lineRule="auto"/>
        <w:ind w:firstLine="284"/>
        <w:jc w:val="center"/>
        <w:rPr>
          <w:rFonts w:ascii="Garamond" w:hAnsi="Garamond"/>
          <w:sz w:val="24"/>
          <w:szCs w:val="24"/>
        </w:rPr>
      </w:pPr>
      <w:bookmarkStart w:id="0" w:name="_Hlk136853201"/>
      <w:r w:rsidRPr="00582729">
        <w:rPr>
          <w:rFonts w:ascii="Garamond" w:hAnsi="Garamond"/>
          <w:sz w:val="24"/>
          <w:szCs w:val="24"/>
        </w:rPr>
        <w:t>GJYKATA EVROPIANE E TË DREJTAVE TË NJERIUT</w:t>
      </w:r>
    </w:p>
    <w:p w14:paraId="14A748CB" w14:textId="77777777" w:rsidR="0051447D" w:rsidRPr="00582729" w:rsidRDefault="0051447D" w:rsidP="0051447D">
      <w:pPr>
        <w:tabs>
          <w:tab w:val="left" w:pos="5529"/>
        </w:tabs>
        <w:spacing w:after="0" w:line="240" w:lineRule="auto"/>
        <w:ind w:firstLine="284"/>
        <w:jc w:val="center"/>
        <w:rPr>
          <w:rFonts w:ascii="Garamond" w:hAnsi="Garamond"/>
          <w:sz w:val="12"/>
          <w:szCs w:val="24"/>
        </w:rPr>
      </w:pPr>
    </w:p>
    <w:p w14:paraId="55E4BE6D" w14:textId="70A04F76" w:rsidR="00B82D54" w:rsidRPr="00582729" w:rsidRDefault="00B82D54" w:rsidP="0051447D">
      <w:pPr>
        <w:tabs>
          <w:tab w:val="left" w:pos="5529"/>
        </w:tabs>
        <w:spacing w:after="0" w:line="240" w:lineRule="auto"/>
        <w:ind w:firstLine="284"/>
        <w:jc w:val="center"/>
        <w:rPr>
          <w:rFonts w:ascii="Garamond" w:hAnsi="Garamond"/>
          <w:sz w:val="24"/>
          <w:szCs w:val="24"/>
        </w:rPr>
      </w:pPr>
      <w:r w:rsidRPr="00582729">
        <w:rPr>
          <w:rFonts w:ascii="Garamond" w:hAnsi="Garamond"/>
          <w:sz w:val="24"/>
          <w:szCs w:val="24"/>
        </w:rPr>
        <w:t>SEKSIONI I TRETË</w:t>
      </w:r>
    </w:p>
    <w:p w14:paraId="51155927" w14:textId="77777777" w:rsidR="0051447D" w:rsidRPr="00582729" w:rsidRDefault="0051447D" w:rsidP="0051447D">
      <w:pPr>
        <w:tabs>
          <w:tab w:val="left" w:pos="5529"/>
        </w:tabs>
        <w:spacing w:after="0" w:line="240" w:lineRule="auto"/>
        <w:ind w:firstLine="284"/>
        <w:jc w:val="center"/>
        <w:rPr>
          <w:rFonts w:ascii="Garamond" w:hAnsi="Garamond"/>
          <w:sz w:val="12"/>
          <w:szCs w:val="24"/>
        </w:rPr>
      </w:pPr>
    </w:p>
    <w:p w14:paraId="436A2D92" w14:textId="77777777" w:rsidR="00B82D54" w:rsidRPr="00582729" w:rsidRDefault="00B82D54" w:rsidP="00B82D54">
      <w:pPr>
        <w:spacing w:after="0" w:line="240" w:lineRule="auto"/>
        <w:ind w:firstLine="284"/>
        <w:jc w:val="center"/>
        <w:outlineLvl w:val="0"/>
        <w:rPr>
          <w:rFonts w:ascii="Garamond" w:hAnsi="Garamond"/>
          <w:b/>
          <w:sz w:val="24"/>
          <w:szCs w:val="24"/>
        </w:rPr>
      </w:pPr>
      <w:bookmarkStart w:id="1" w:name="_GoBack"/>
      <w:r w:rsidRPr="00582729">
        <w:rPr>
          <w:rFonts w:ascii="Garamond" w:hAnsi="Garamond"/>
          <w:b/>
          <w:sz w:val="24"/>
          <w:szCs w:val="24"/>
        </w:rPr>
        <w:t>ÇËSHTJA HAMITAJ KUNDËR SHQIPËRISË</w:t>
      </w:r>
    </w:p>
    <w:bookmarkEnd w:id="1"/>
    <w:p w14:paraId="5B6308F0" w14:textId="77777777" w:rsidR="00B82D54" w:rsidRPr="00582729" w:rsidRDefault="00B82D54" w:rsidP="00B82D54">
      <w:pPr>
        <w:spacing w:after="0" w:line="240" w:lineRule="auto"/>
        <w:ind w:firstLine="284"/>
        <w:jc w:val="center"/>
        <w:rPr>
          <w:rFonts w:ascii="Garamond" w:hAnsi="Garamond"/>
          <w:sz w:val="24"/>
          <w:szCs w:val="24"/>
        </w:rPr>
      </w:pPr>
      <w:r w:rsidRPr="00582729">
        <w:rPr>
          <w:rFonts w:ascii="Garamond" w:hAnsi="Garamond"/>
          <w:i/>
          <w:sz w:val="24"/>
          <w:szCs w:val="24"/>
        </w:rPr>
        <w:t>(Kërkesa nr. 11254/11)</w:t>
      </w:r>
    </w:p>
    <w:p w14:paraId="015AC34C" w14:textId="77777777" w:rsidR="00B82D54" w:rsidRPr="00582729" w:rsidRDefault="00B82D54" w:rsidP="00B82D54">
      <w:pPr>
        <w:spacing w:after="0" w:line="240" w:lineRule="auto"/>
        <w:ind w:firstLine="284"/>
        <w:jc w:val="center"/>
        <w:outlineLvl w:val="0"/>
        <w:rPr>
          <w:rFonts w:ascii="Garamond" w:hAnsi="Garamond"/>
          <w:sz w:val="24"/>
          <w:szCs w:val="24"/>
        </w:rPr>
      </w:pPr>
    </w:p>
    <w:p w14:paraId="1391A965" w14:textId="2501A1BA" w:rsidR="00B82D54" w:rsidRPr="00C914F9" w:rsidRDefault="00B82D54" w:rsidP="00C914F9">
      <w:pPr>
        <w:spacing w:after="0" w:line="240" w:lineRule="auto"/>
        <w:ind w:firstLine="284"/>
        <w:jc w:val="center"/>
        <w:outlineLvl w:val="0"/>
        <w:rPr>
          <w:rFonts w:ascii="Garamond" w:hAnsi="Garamond"/>
          <w:sz w:val="24"/>
          <w:szCs w:val="24"/>
        </w:rPr>
      </w:pPr>
      <w:r w:rsidRPr="00582729">
        <w:rPr>
          <w:rFonts w:ascii="Garamond" w:hAnsi="Garamond"/>
          <w:sz w:val="24"/>
          <w:szCs w:val="24"/>
        </w:rPr>
        <w:t>VENDIM</w:t>
      </w:r>
    </w:p>
    <w:p w14:paraId="561C4804" w14:textId="77777777" w:rsidR="00B82D54" w:rsidRPr="00582729" w:rsidRDefault="00B82D54" w:rsidP="00B82D54">
      <w:pPr>
        <w:spacing w:after="0" w:line="240" w:lineRule="auto"/>
        <w:ind w:firstLine="284"/>
        <w:jc w:val="center"/>
        <w:rPr>
          <w:rFonts w:ascii="Garamond" w:hAnsi="Garamond"/>
          <w:sz w:val="24"/>
          <w:szCs w:val="24"/>
        </w:rPr>
      </w:pPr>
      <w:r w:rsidRPr="00582729">
        <w:rPr>
          <w:rFonts w:ascii="Garamond" w:hAnsi="Garamond"/>
          <w:sz w:val="24"/>
          <w:szCs w:val="24"/>
        </w:rPr>
        <w:t>STRASBURG</w:t>
      </w:r>
    </w:p>
    <w:p w14:paraId="1603AC1E" w14:textId="761A7A98" w:rsidR="00B82D54" w:rsidRPr="00582729" w:rsidRDefault="00B82D54" w:rsidP="00B82D54">
      <w:pPr>
        <w:spacing w:after="0" w:line="240" w:lineRule="auto"/>
        <w:ind w:firstLine="284"/>
        <w:jc w:val="center"/>
        <w:rPr>
          <w:rFonts w:ascii="Garamond" w:hAnsi="Garamond"/>
          <w:sz w:val="24"/>
          <w:szCs w:val="24"/>
        </w:rPr>
      </w:pPr>
      <w:r w:rsidRPr="00582729">
        <w:rPr>
          <w:rFonts w:ascii="Garamond" w:hAnsi="Garamond"/>
          <w:sz w:val="24"/>
          <w:szCs w:val="24"/>
        </w:rPr>
        <w:t xml:space="preserve">20 </w:t>
      </w:r>
      <w:r w:rsidR="0051447D" w:rsidRPr="00582729">
        <w:rPr>
          <w:rFonts w:ascii="Garamond" w:hAnsi="Garamond"/>
          <w:sz w:val="24"/>
          <w:szCs w:val="24"/>
        </w:rPr>
        <w:t>k</w:t>
      </w:r>
      <w:r w:rsidRPr="00582729">
        <w:rPr>
          <w:rFonts w:ascii="Garamond" w:hAnsi="Garamond"/>
          <w:sz w:val="24"/>
          <w:szCs w:val="24"/>
        </w:rPr>
        <w:t>orrik 2023</w:t>
      </w:r>
    </w:p>
    <w:p w14:paraId="25EEB0D9" w14:textId="77777777" w:rsidR="00B82D54" w:rsidRPr="00582729" w:rsidRDefault="00B82D54" w:rsidP="00B82D54">
      <w:pPr>
        <w:spacing w:after="0" w:line="240" w:lineRule="auto"/>
        <w:ind w:firstLine="284"/>
        <w:jc w:val="center"/>
        <w:rPr>
          <w:rFonts w:ascii="Garamond" w:hAnsi="Garamond"/>
          <w:sz w:val="24"/>
          <w:szCs w:val="24"/>
        </w:rPr>
      </w:pPr>
    </w:p>
    <w:p w14:paraId="51034647" w14:textId="53EBCED1" w:rsidR="00B82D54" w:rsidRPr="00582729" w:rsidRDefault="00B82D54" w:rsidP="00B82D54">
      <w:pPr>
        <w:spacing w:after="0" w:line="240" w:lineRule="auto"/>
        <w:ind w:firstLine="284"/>
        <w:jc w:val="center"/>
        <w:rPr>
          <w:rFonts w:ascii="Garamond" w:hAnsi="Garamond"/>
          <w:i/>
          <w:iCs/>
          <w:sz w:val="24"/>
          <w:szCs w:val="24"/>
        </w:rPr>
      </w:pPr>
      <w:r w:rsidRPr="00582729">
        <w:rPr>
          <w:rFonts w:ascii="Garamond" w:hAnsi="Garamond"/>
          <w:i/>
          <w:iCs/>
          <w:sz w:val="24"/>
          <w:szCs w:val="24"/>
        </w:rPr>
        <w:t>Ky vendim është i formës së prerë, por mund të bëhet objekt i</w:t>
      </w:r>
      <w:r w:rsidR="00B0313E">
        <w:rPr>
          <w:rFonts w:ascii="Garamond" w:hAnsi="Garamond"/>
          <w:i/>
          <w:iCs/>
          <w:sz w:val="24"/>
          <w:szCs w:val="24"/>
        </w:rPr>
        <w:t xml:space="preserve"> </w:t>
      </w:r>
      <w:r w:rsidRPr="00582729">
        <w:rPr>
          <w:rFonts w:ascii="Garamond" w:hAnsi="Garamond"/>
          <w:i/>
          <w:iCs/>
          <w:sz w:val="24"/>
          <w:szCs w:val="24"/>
        </w:rPr>
        <w:t>rishikimit redaktues.</w:t>
      </w:r>
    </w:p>
    <w:p w14:paraId="05ABFCA5" w14:textId="77777777" w:rsidR="00B82D54" w:rsidRPr="00582729" w:rsidRDefault="00B82D54" w:rsidP="00B82D54">
      <w:pPr>
        <w:pStyle w:val="JuCase"/>
        <w:rPr>
          <w:rFonts w:ascii="Garamond" w:hAnsi="Garamond"/>
          <w:szCs w:val="24"/>
          <w:lang w:val="sq-AL"/>
        </w:rPr>
      </w:pPr>
    </w:p>
    <w:p w14:paraId="3207FA2B" w14:textId="77777777" w:rsidR="00B82D54" w:rsidRPr="00582729" w:rsidRDefault="00B82D54" w:rsidP="00B82D54">
      <w:pPr>
        <w:pStyle w:val="JuCase"/>
        <w:rPr>
          <w:rFonts w:ascii="Garamond" w:hAnsi="Garamond"/>
          <w:szCs w:val="24"/>
          <w:lang w:val="sq-AL"/>
        </w:rPr>
      </w:pPr>
      <w:r w:rsidRPr="00582729">
        <w:rPr>
          <w:rFonts w:ascii="Garamond" w:hAnsi="Garamond"/>
          <w:szCs w:val="24"/>
          <w:lang w:val="sq-AL"/>
        </w:rPr>
        <w:t>Në çështjen Hamitaj kundër Shqipërisë,</w:t>
      </w:r>
    </w:p>
    <w:p w14:paraId="77150E3F" w14:textId="77777777" w:rsidR="00B82D54" w:rsidRPr="00582729" w:rsidRDefault="00B82D54" w:rsidP="00B82D54">
      <w:pPr>
        <w:pStyle w:val="ECHRPara"/>
        <w:rPr>
          <w:rFonts w:ascii="Garamond" w:hAnsi="Garamond"/>
          <w:szCs w:val="24"/>
          <w:lang w:val="sq-AL"/>
        </w:rPr>
      </w:pPr>
      <w:r w:rsidRPr="00582729">
        <w:rPr>
          <w:rFonts w:ascii="Garamond" w:hAnsi="Garamond"/>
          <w:szCs w:val="24"/>
          <w:lang w:val="sq-AL"/>
        </w:rPr>
        <w:t xml:space="preserve">Gjykata Evropiane e të Drejtave të Njeriut (Seksioni i Tretë), e mbledhur si një Komitet i përbërë nga: </w:t>
      </w:r>
    </w:p>
    <w:p w14:paraId="7DD083CA" w14:textId="586035EC" w:rsidR="00B82D54" w:rsidRPr="00582729" w:rsidRDefault="00B82D54" w:rsidP="00B82D54">
      <w:pPr>
        <w:pStyle w:val="ECHRDecisionBody"/>
        <w:ind w:firstLine="284"/>
        <w:rPr>
          <w:rFonts w:ascii="Garamond" w:hAnsi="Garamond"/>
          <w:i/>
          <w:szCs w:val="24"/>
          <w:lang w:val="sq-AL"/>
        </w:rPr>
      </w:pPr>
      <w:r w:rsidRPr="00582729">
        <w:rPr>
          <w:rFonts w:ascii="Garamond" w:hAnsi="Garamond"/>
          <w:iCs/>
          <w:szCs w:val="24"/>
          <w:lang w:val="sq-AL"/>
        </w:rPr>
        <w:t>Ioannis Ktistakis</w:t>
      </w:r>
      <w:r w:rsidRPr="00582729">
        <w:rPr>
          <w:rFonts w:ascii="Garamond" w:hAnsi="Garamond"/>
          <w:szCs w:val="24"/>
          <w:lang w:val="sq-AL"/>
        </w:rPr>
        <w:t>,</w:t>
      </w:r>
      <w:r w:rsidRPr="00582729">
        <w:rPr>
          <w:rFonts w:ascii="Garamond" w:hAnsi="Garamond"/>
          <w:i/>
          <w:szCs w:val="24"/>
          <w:lang w:val="sq-AL"/>
        </w:rPr>
        <w:t xml:space="preserve"> </w:t>
      </w:r>
      <w:r w:rsidR="00582729" w:rsidRPr="00582729">
        <w:rPr>
          <w:rFonts w:ascii="Garamond" w:hAnsi="Garamond"/>
          <w:i/>
          <w:szCs w:val="24"/>
          <w:lang w:val="sq-AL"/>
        </w:rPr>
        <w:t>k</w:t>
      </w:r>
      <w:r w:rsidRPr="00582729">
        <w:rPr>
          <w:rFonts w:ascii="Garamond" w:hAnsi="Garamond"/>
          <w:i/>
          <w:szCs w:val="24"/>
          <w:lang w:val="sq-AL"/>
        </w:rPr>
        <w:t>ryetar,</w:t>
      </w:r>
    </w:p>
    <w:p w14:paraId="435CD4CB" w14:textId="7E017520" w:rsidR="00B82D54" w:rsidRPr="00582729" w:rsidRDefault="00B82D54" w:rsidP="00B82D54">
      <w:pPr>
        <w:pStyle w:val="ECHRDecisionBody"/>
        <w:ind w:firstLine="284"/>
        <w:rPr>
          <w:rFonts w:ascii="Garamond" w:hAnsi="Garamond"/>
          <w:szCs w:val="24"/>
          <w:lang w:val="sq-AL"/>
        </w:rPr>
      </w:pPr>
      <w:r w:rsidRPr="00582729">
        <w:rPr>
          <w:rFonts w:ascii="Garamond" w:hAnsi="Garamond"/>
          <w:i/>
          <w:szCs w:val="24"/>
          <w:lang w:val="sq-AL"/>
        </w:rPr>
        <w:t xml:space="preserve"> </w:t>
      </w:r>
      <w:r w:rsidRPr="00582729">
        <w:rPr>
          <w:rFonts w:ascii="Garamond" w:hAnsi="Garamond"/>
          <w:szCs w:val="24"/>
          <w:lang w:val="sq-AL"/>
        </w:rPr>
        <w:t>Darian Pavli,</w:t>
      </w:r>
    </w:p>
    <w:p w14:paraId="5B5C45B0" w14:textId="18F73707" w:rsidR="00B82D54" w:rsidRPr="00582729" w:rsidRDefault="00B82D54" w:rsidP="00B82D54">
      <w:pPr>
        <w:pStyle w:val="ECHRDecisionBody"/>
        <w:ind w:firstLine="284"/>
        <w:rPr>
          <w:rFonts w:ascii="Garamond" w:hAnsi="Garamond"/>
          <w:szCs w:val="24"/>
          <w:lang w:val="sq-AL"/>
        </w:rPr>
      </w:pPr>
      <w:r w:rsidRPr="00582729">
        <w:rPr>
          <w:rFonts w:ascii="Garamond" w:hAnsi="Garamond"/>
          <w:szCs w:val="24"/>
          <w:lang w:val="sq-AL"/>
        </w:rPr>
        <w:t xml:space="preserve"> Oddný Mjöll Arnardóttir, </w:t>
      </w:r>
      <w:r w:rsidRPr="00582729">
        <w:rPr>
          <w:rFonts w:ascii="Garamond" w:hAnsi="Garamond"/>
          <w:i/>
          <w:szCs w:val="24"/>
          <w:lang w:val="sq-AL"/>
        </w:rPr>
        <w:t>gjyqtarë</w:t>
      </w:r>
      <w:r w:rsidR="000D0E85">
        <w:rPr>
          <w:rFonts w:ascii="Garamond" w:hAnsi="Garamond"/>
          <w:i/>
          <w:szCs w:val="24"/>
          <w:lang w:val="sq-AL"/>
        </w:rPr>
        <w:t>,</w:t>
      </w:r>
      <w:r w:rsidRPr="00582729">
        <w:rPr>
          <w:rFonts w:ascii="Garamond" w:hAnsi="Garamond"/>
          <w:i/>
          <w:szCs w:val="24"/>
          <w:lang w:val="sq-AL"/>
        </w:rPr>
        <w:t xml:space="preserve"> </w:t>
      </w:r>
      <w:r w:rsidRPr="00582729">
        <w:rPr>
          <w:rFonts w:ascii="Garamond" w:hAnsi="Garamond"/>
          <w:szCs w:val="24"/>
          <w:lang w:val="sq-AL"/>
        </w:rPr>
        <w:br/>
        <w:t xml:space="preserve">dhe Viktoriya Maradudina, </w:t>
      </w:r>
      <w:r w:rsidR="00582729" w:rsidRPr="00582729">
        <w:rPr>
          <w:rFonts w:ascii="Garamond" w:hAnsi="Garamond"/>
          <w:i/>
          <w:iCs/>
          <w:szCs w:val="24"/>
          <w:lang w:val="sq-AL"/>
        </w:rPr>
        <w:t xml:space="preserve">zëvendëssekretare </w:t>
      </w:r>
      <w:r w:rsidRPr="00582729">
        <w:rPr>
          <w:rFonts w:ascii="Garamond" w:hAnsi="Garamond"/>
          <w:i/>
          <w:iCs/>
          <w:szCs w:val="24"/>
          <w:lang w:val="sq-AL"/>
        </w:rPr>
        <w:t>e</w:t>
      </w:r>
      <w:r w:rsidR="00B0313E">
        <w:rPr>
          <w:rFonts w:ascii="Garamond" w:hAnsi="Garamond"/>
          <w:i/>
          <w:iCs/>
          <w:szCs w:val="24"/>
          <w:lang w:val="sq-AL"/>
        </w:rPr>
        <w:t xml:space="preserve"> </w:t>
      </w:r>
      <w:r w:rsidRPr="00582729">
        <w:rPr>
          <w:rFonts w:ascii="Garamond" w:hAnsi="Garamond"/>
          <w:i/>
          <w:szCs w:val="24"/>
          <w:lang w:val="sq-AL"/>
        </w:rPr>
        <w:t>Përkohshme e Seksionit,</w:t>
      </w:r>
      <w:r w:rsidRPr="00582729">
        <w:rPr>
          <w:rFonts w:ascii="Garamond" w:hAnsi="Garamond"/>
          <w:iCs/>
          <w:szCs w:val="24"/>
          <w:lang w:val="sq-AL"/>
        </w:rPr>
        <w:t xml:space="preserve"> </w:t>
      </w:r>
    </w:p>
    <w:p w14:paraId="7DEA57E3" w14:textId="514C05B0" w:rsidR="00B82D54" w:rsidRPr="00582729" w:rsidRDefault="00B82D54" w:rsidP="00B82D54">
      <w:pPr>
        <w:pStyle w:val="ECHRPara"/>
        <w:rPr>
          <w:rFonts w:ascii="Garamond" w:hAnsi="Garamond"/>
          <w:szCs w:val="24"/>
          <w:lang w:val="sq-AL"/>
        </w:rPr>
      </w:pPr>
      <w:r w:rsidRPr="00582729">
        <w:rPr>
          <w:rFonts w:ascii="Garamond" w:hAnsi="Garamond"/>
          <w:szCs w:val="24"/>
          <w:lang w:val="sq-AL"/>
        </w:rPr>
        <w:t xml:space="preserve">Pasi diskutoi me dyer të mbyllura më datë 29 </w:t>
      </w:r>
      <w:r w:rsidR="00582729">
        <w:rPr>
          <w:rFonts w:ascii="Garamond" w:hAnsi="Garamond"/>
          <w:szCs w:val="24"/>
          <w:lang w:val="sq-AL"/>
        </w:rPr>
        <w:t>q</w:t>
      </w:r>
      <w:r w:rsidRPr="00582729">
        <w:rPr>
          <w:rFonts w:ascii="Garamond" w:hAnsi="Garamond"/>
          <w:szCs w:val="24"/>
          <w:lang w:val="sq-AL"/>
        </w:rPr>
        <w:t>ershor 2023,</w:t>
      </w:r>
    </w:p>
    <w:p w14:paraId="223A8F56" w14:textId="77777777" w:rsidR="00B82D54" w:rsidRPr="00582729" w:rsidRDefault="00B82D54" w:rsidP="00B82D54">
      <w:pPr>
        <w:pStyle w:val="ECHRPara"/>
        <w:rPr>
          <w:rFonts w:ascii="Garamond" w:hAnsi="Garamond"/>
          <w:szCs w:val="24"/>
          <w:lang w:val="sq-AL"/>
        </w:rPr>
      </w:pPr>
      <w:r w:rsidRPr="00582729">
        <w:rPr>
          <w:rFonts w:ascii="Garamond" w:hAnsi="Garamond"/>
          <w:szCs w:val="24"/>
          <w:lang w:val="sq-AL"/>
        </w:rPr>
        <w:t>Shpall vendimin e mëposhtëm, i cili u miratua në po atë datë:</w:t>
      </w:r>
    </w:p>
    <w:p w14:paraId="3B999110" w14:textId="77777777" w:rsidR="00B82D54" w:rsidRPr="00582729" w:rsidRDefault="00B82D54" w:rsidP="00B82D54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582729">
        <w:rPr>
          <w:rFonts w:ascii="Garamond" w:hAnsi="Garamond"/>
          <w:sz w:val="24"/>
          <w:szCs w:val="24"/>
          <w:lang w:val="sq-AL"/>
        </w:rPr>
        <w:t>PROCEDURA</w:t>
      </w:r>
    </w:p>
    <w:p w14:paraId="0D5EDCD8" w14:textId="3E66C327" w:rsidR="00B82D54" w:rsidRPr="00582729" w:rsidRDefault="00B82D54" w:rsidP="00B82D54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582729">
        <w:rPr>
          <w:rFonts w:ascii="Garamond" w:hAnsi="Garamond"/>
          <w:sz w:val="24"/>
          <w:szCs w:val="24"/>
          <w:lang w:val="sq-AL"/>
        </w:rPr>
        <w:t>1. Çështja nisi me një kërkesë kundër Shqipërisë depozituar në Gjykatë</w:t>
      </w:r>
      <w:r w:rsidR="00582729">
        <w:rPr>
          <w:rFonts w:ascii="Garamond" w:hAnsi="Garamond"/>
          <w:sz w:val="24"/>
          <w:szCs w:val="24"/>
          <w:lang w:val="sq-AL"/>
        </w:rPr>
        <w:t>,</w:t>
      </w:r>
      <w:r w:rsidRPr="00582729">
        <w:rPr>
          <w:rFonts w:ascii="Garamond" w:hAnsi="Garamond"/>
          <w:sz w:val="24"/>
          <w:szCs w:val="24"/>
          <w:lang w:val="sq-AL"/>
        </w:rPr>
        <w:t xml:space="preserve"> në mbështetje të </w:t>
      </w:r>
      <w:r w:rsidR="00582729">
        <w:rPr>
          <w:rFonts w:ascii="Garamond" w:hAnsi="Garamond"/>
          <w:sz w:val="24"/>
          <w:szCs w:val="24"/>
          <w:lang w:val="sq-AL"/>
        </w:rPr>
        <w:t>n</w:t>
      </w:r>
      <w:r w:rsidRPr="00582729">
        <w:rPr>
          <w:rFonts w:ascii="Garamond" w:hAnsi="Garamond"/>
          <w:sz w:val="24"/>
          <w:szCs w:val="24"/>
          <w:lang w:val="sq-AL"/>
        </w:rPr>
        <w:t xml:space="preserve">enit 34 të Konventës për Mbrojtjen e të Drejtave të Njeriut dhe Lirive Themelore (“Konventa”) më 15 </w:t>
      </w:r>
      <w:r w:rsidR="00582729">
        <w:rPr>
          <w:rFonts w:ascii="Garamond" w:hAnsi="Garamond"/>
          <w:sz w:val="24"/>
          <w:szCs w:val="24"/>
          <w:lang w:val="sq-AL"/>
        </w:rPr>
        <w:t>j</w:t>
      </w:r>
      <w:r w:rsidRPr="00582729">
        <w:rPr>
          <w:rFonts w:ascii="Garamond" w:hAnsi="Garamond"/>
          <w:sz w:val="24"/>
          <w:szCs w:val="24"/>
          <w:lang w:val="sq-AL"/>
        </w:rPr>
        <w:t xml:space="preserve">anar 2011. </w:t>
      </w:r>
    </w:p>
    <w:p w14:paraId="0B4B0FA2" w14:textId="21341B13" w:rsidR="00B82D54" w:rsidRPr="00582729" w:rsidRDefault="00B82D54" w:rsidP="00B82D54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582729">
        <w:rPr>
          <w:rFonts w:ascii="Garamond" w:hAnsi="Garamond"/>
          <w:sz w:val="24"/>
          <w:szCs w:val="24"/>
          <w:lang w:val="sq-AL"/>
        </w:rPr>
        <w:t xml:space="preserve">2. Qeveria shqiptare (“Qeveria”) u njoftua mbi kërkesën në mbështetje të </w:t>
      </w:r>
      <w:r w:rsidR="00582729">
        <w:rPr>
          <w:rFonts w:ascii="Garamond" w:hAnsi="Garamond"/>
          <w:sz w:val="24"/>
          <w:szCs w:val="24"/>
          <w:lang w:val="sq-AL"/>
        </w:rPr>
        <w:t>n</w:t>
      </w:r>
      <w:r w:rsidRPr="00582729">
        <w:rPr>
          <w:rFonts w:ascii="Garamond" w:hAnsi="Garamond"/>
          <w:sz w:val="24"/>
          <w:szCs w:val="24"/>
          <w:lang w:val="sq-AL"/>
        </w:rPr>
        <w:t xml:space="preserve">enit 6 § 1 të Konventës, në lidhje me pretendimin për kohëzgjatjen e tepërt të procesit, sipas </w:t>
      </w:r>
      <w:r w:rsidR="00582729">
        <w:rPr>
          <w:rFonts w:ascii="Garamond" w:hAnsi="Garamond"/>
          <w:sz w:val="24"/>
          <w:szCs w:val="24"/>
          <w:lang w:val="sq-AL"/>
        </w:rPr>
        <w:t>n</w:t>
      </w:r>
      <w:r w:rsidRPr="00582729">
        <w:rPr>
          <w:rFonts w:ascii="Garamond" w:hAnsi="Garamond"/>
          <w:sz w:val="24"/>
          <w:szCs w:val="24"/>
          <w:lang w:val="sq-AL"/>
        </w:rPr>
        <w:t xml:space="preserve">enit 13 të Konventës për mungesën e një mjeti efektiv për të adresuar kohëzgjatjen e procesit, si edhe në mbështetje të </w:t>
      </w:r>
      <w:r w:rsidR="00582729">
        <w:rPr>
          <w:rFonts w:ascii="Garamond" w:hAnsi="Garamond"/>
          <w:sz w:val="24"/>
          <w:szCs w:val="24"/>
          <w:lang w:val="sq-AL"/>
        </w:rPr>
        <w:t>n</w:t>
      </w:r>
      <w:r w:rsidRPr="00582729">
        <w:rPr>
          <w:rFonts w:ascii="Garamond" w:hAnsi="Garamond"/>
          <w:sz w:val="24"/>
          <w:szCs w:val="24"/>
          <w:lang w:val="sq-AL"/>
        </w:rPr>
        <w:t xml:space="preserve">enit 1 të Protokollit </w:t>
      </w:r>
      <w:r w:rsidR="00582729">
        <w:rPr>
          <w:rFonts w:ascii="Garamond" w:hAnsi="Garamond"/>
          <w:sz w:val="24"/>
          <w:szCs w:val="24"/>
          <w:lang w:val="sq-AL"/>
        </w:rPr>
        <w:t>n</w:t>
      </w:r>
      <w:r w:rsidRPr="00582729">
        <w:rPr>
          <w:rFonts w:ascii="Garamond" w:hAnsi="Garamond"/>
          <w:sz w:val="24"/>
          <w:szCs w:val="24"/>
          <w:lang w:val="sq-AL"/>
        </w:rPr>
        <w:t xml:space="preserve">r. 1 për një shkelje të të drejtave të kërkuesit mbi pronën. </w:t>
      </w:r>
    </w:p>
    <w:p w14:paraId="59A36010" w14:textId="77777777" w:rsidR="00B82D54" w:rsidRPr="00582729" w:rsidRDefault="00B82D54" w:rsidP="00B82D54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582729">
        <w:rPr>
          <w:rFonts w:ascii="Garamond" w:hAnsi="Garamond"/>
          <w:sz w:val="24"/>
          <w:szCs w:val="24"/>
          <w:lang w:val="sq-AL"/>
        </w:rPr>
        <w:t>FAKTET</w:t>
      </w:r>
    </w:p>
    <w:p w14:paraId="6BA93813" w14:textId="77777777" w:rsidR="00B82D54" w:rsidRPr="00582729" w:rsidRDefault="00B82D54" w:rsidP="00B82D54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582729">
        <w:rPr>
          <w:rFonts w:ascii="Garamond" w:hAnsi="Garamond"/>
          <w:sz w:val="24"/>
          <w:szCs w:val="24"/>
          <w:lang w:val="sq-AL"/>
        </w:rPr>
        <w:t xml:space="preserve">3. Detajet e kërkuesit dhe informacioni që ka lidhje me kërkesën paraqiten në tabelën bashkëlidhur. </w:t>
      </w:r>
    </w:p>
    <w:p w14:paraId="55D9312E" w14:textId="535B6F6A" w:rsidR="00B82D54" w:rsidRPr="00582729" w:rsidRDefault="00B82D54" w:rsidP="00B82D54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582729">
        <w:rPr>
          <w:rFonts w:ascii="Garamond" w:hAnsi="Garamond"/>
          <w:sz w:val="24"/>
          <w:szCs w:val="24"/>
          <w:lang w:val="sq-AL"/>
        </w:rPr>
        <w:t xml:space="preserve">4. Kërkuesi u ankua për kohëzgjatje të tepërt të procedurave civile, duke përfshirë ato në Gjykatën e Lartë, sipas </w:t>
      </w:r>
      <w:r w:rsidR="00582729">
        <w:rPr>
          <w:rFonts w:ascii="Garamond" w:hAnsi="Garamond"/>
          <w:sz w:val="24"/>
          <w:szCs w:val="24"/>
          <w:lang w:val="sq-AL"/>
        </w:rPr>
        <w:t>n</w:t>
      </w:r>
      <w:r w:rsidRPr="00582729">
        <w:rPr>
          <w:rFonts w:ascii="Garamond" w:hAnsi="Garamond"/>
          <w:sz w:val="24"/>
          <w:szCs w:val="24"/>
          <w:lang w:val="sq-AL"/>
        </w:rPr>
        <w:t>en</w:t>
      </w:r>
      <w:r w:rsidR="00582729">
        <w:rPr>
          <w:rFonts w:ascii="Garamond" w:hAnsi="Garamond"/>
          <w:sz w:val="24"/>
          <w:szCs w:val="24"/>
          <w:lang w:val="sq-AL"/>
        </w:rPr>
        <w:t>it</w:t>
      </w:r>
      <w:r w:rsidRPr="00582729">
        <w:rPr>
          <w:rFonts w:ascii="Garamond" w:hAnsi="Garamond"/>
          <w:sz w:val="24"/>
          <w:szCs w:val="24"/>
          <w:lang w:val="sq-AL"/>
        </w:rPr>
        <w:t xml:space="preserve"> 6 §1 të Konventës. Kërkuesi paraqiti edhe ankesa të tjera në mbështetje të Konventës. </w:t>
      </w:r>
    </w:p>
    <w:p w14:paraId="08408A5B" w14:textId="77777777" w:rsidR="00B82D54" w:rsidRPr="00582729" w:rsidRDefault="00B82D54" w:rsidP="00B82D54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582729">
        <w:rPr>
          <w:rFonts w:ascii="Garamond" w:hAnsi="Garamond"/>
          <w:sz w:val="24"/>
          <w:szCs w:val="24"/>
          <w:lang w:val="sq-AL"/>
        </w:rPr>
        <w:t>LIGJI</w:t>
      </w:r>
    </w:p>
    <w:p w14:paraId="2F0873F7" w14:textId="75CE10EB" w:rsidR="00B82D54" w:rsidRPr="00582729" w:rsidRDefault="00B82D54" w:rsidP="00B82D54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582729">
        <w:rPr>
          <w:rFonts w:ascii="Garamond" w:hAnsi="Garamond"/>
          <w:sz w:val="24"/>
          <w:szCs w:val="24"/>
          <w:lang w:val="sq-AL"/>
        </w:rPr>
        <w:t>I. PRETENDIMI PËR SHKLEJE TË NENIT 6 §1 TË KONVENTËS</w:t>
      </w:r>
    </w:p>
    <w:p w14:paraId="72559954" w14:textId="1ED699DF" w:rsidR="00B82D54" w:rsidRPr="00582729" w:rsidRDefault="00B82D54" w:rsidP="00B82D54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582729">
        <w:rPr>
          <w:rFonts w:ascii="Garamond" w:hAnsi="Garamond"/>
          <w:sz w:val="24"/>
          <w:szCs w:val="24"/>
          <w:lang w:val="sq-AL"/>
        </w:rPr>
        <w:t xml:space="preserve">5. Kërkuesi u ankua kryesisht se kohëzgjatja e procesit civil konkret nuk ishte në përputhje me kërkesën për “afat të arsyeshëm” (për më shumë detaje shih tabelën bashkëlidhur). Ai u mbështet në </w:t>
      </w:r>
      <w:r w:rsidR="00582729">
        <w:rPr>
          <w:rFonts w:ascii="Garamond" w:hAnsi="Garamond"/>
          <w:sz w:val="24"/>
          <w:szCs w:val="24"/>
          <w:lang w:val="sq-AL"/>
        </w:rPr>
        <w:t>n</w:t>
      </w:r>
      <w:r w:rsidRPr="00582729">
        <w:rPr>
          <w:rFonts w:ascii="Garamond" w:hAnsi="Garamond"/>
          <w:sz w:val="24"/>
          <w:szCs w:val="24"/>
          <w:lang w:val="sq-AL"/>
        </w:rPr>
        <w:t>enin 6 §1 të Konventës.</w:t>
      </w:r>
    </w:p>
    <w:p w14:paraId="58E81A1C" w14:textId="4097DE58" w:rsidR="00B82D54" w:rsidRPr="00582729" w:rsidRDefault="00B82D54" w:rsidP="00B82D54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582729">
        <w:rPr>
          <w:rFonts w:ascii="Garamond" w:hAnsi="Garamond"/>
          <w:sz w:val="24"/>
          <w:szCs w:val="24"/>
          <w:lang w:val="sq-AL"/>
        </w:rPr>
        <w:t xml:space="preserve">6. Gjykata thekson se arsyeshmëria e kohëzgjatjes së procesit duhet të vlerësohet në mbështetje të rrethanave të çështjes dhe duke iu referuar kritereve në vijim: kompleksiteti i çështjes, sjellja e kërkuesit dhe e autoriteteve përkatëse, dhe se çfarë ishte në rrezik për kërkuesin në mosmarrëveshje (shih </w:t>
      </w:r>
      <w:r w:rsidRPr="00582729">
        <w:rPr>
          <w:rFonts w:ascii="Garamond" w:hAnsi="Garamond"/>
          <w:i/>
          <w:iCs/>
          <w:sz w:val="24"/>
          <w:szCs w:val="24"/>
          <w:lang w:val="sq-AL"/>
        </w:rPr>
        <w:t>Frydlender kundër Francës</w:t>
      </w:r>
      <w:r w:rsidRPr="00582729">
        <w:rPr>
          <w:rFonts w:ascii="Garamond" w:hAnsi="Garamond"/>
          <w:sz w:val="24"/>
          <w:szCs w:val="24"/>
          <w:lang w:val="sq-AL"/>
        </w:rPr>
        <w:t xml:space="preserve"> [DHM], nr. 30979/96, §43, GJEDNJ 2000-VII, </w:t>
      </w:r>
      <w:r w:rsidRPr="00582729">
        <w:rPr>
          <w:rFonts w:ascii="Garamond" w:hAnsi="Garamond"/>
          <w:i/>
          <w:iCs/>
          <w:sz w:val="24"/>
          <w:szCs w:val="24"/>
          <w:lang w:val="sq-AL"/>
        </w:rPr>
        <w:t xml:space="preserve">Gazsó kundër Hungarisë, </w:t>
      </w:r>
      <w:r w:rsidRPr="00582729">
        <w:rPr>
          <w:rFonts w:ascii="Garamond" w:hAnsi="Garamond"/>
          <w:sz w:val="24"/>
          <w:szCs w:val="24"/>
          <w:lang w:val="sq-AL"/>
        </w:rPr>
        <w:t xml:space="preserve">nr. 48322/12, § 15, 16 </w:t>
      </w:r>
      <w:r w:rsidR="00582729">
        <w:rPr>
          <w:rFonts w:ascii="Garamond" w:hAnsi="Garamond"/>
          <w:sz w:val="24"/>
          <w:szCs w:val="24"/>
          <w:lang w:val="sq-AL"/>
        </w:rPr>
        <w:t>k</w:t>
      </w:r>
      <w:r w:rsidRPr="00582729">
        <w:rPr>
          <w:rFonts w:ascii="Garamond" w:hAnsi="Garamond"/>
          <w:sz w:val="24"/>
          <w:szCs w:val="24"/>
          <w:lang w:val="sq-AL"/>
        </w:rPr>
        <w:t xml:space="preserve">orrik 2015; dhe </w:t>
      </w:r>
      <w:r w:rsidRPr="00582729">
        <w:rPr>
          <w:rFonts w:ascii="Garamond" w:hAnsi="Garamond"/>
          <w:i/>
          <w:iCs/>
          <w:sz w:val="24"/>
          <w:szCs w:val="24"/>
          <w:lang w:val="sq-AL"/>
        </w:rPr>
        <w:t>Topallaj kundër Shqipërisë</w:t>
      </w:r>
      <w:r w:rsidRPr="00582729">
        <w:rPr>
          <w:rFonts w:ascii="Garamond" w:hAnsi="Garamond"/>
          <w:sz w:val="24"/>
          <w:szCs w:val="24"/>
          <w:lang w:val="sq-AL"/>
        </w:rPr>
        <w:t xml:space="preserve">, nr. 32913/03, § 75, 21 </w:t>
      </w:r>
      <w:r w:rsidR="00582729">
        <w:rPr>
          <w:rFonts w:ascii="Garamond" w:hAnsi="Garamond"/>
          <w:sz w:val="24"/>
          <w:szCs w:val="24"/>
          <w:lang w:val="sq-AL"/>
        </w:rPr>
        <w:t>p</w:t>
      </w:r>
      <w:r w:rsidRPr="00582729">
        <w:rPr>
          <w:rFonts w:ascii="Garamond" w:hAnsi="Garamond"/>
          <w:sz w:val="24"/>
          <w:szCs w:val="24"/>
          <w:lang w:val="sq-AL"/>
        </w:rPr>
        <w:t xml:space="preserve">rill 2016). </w:t>
      </w:r>
    </w:p>
    <w:p w14:paraId="5B3E81E8" w14:textId="46BD15AF" w:rsidR="00B82D54" w:rsidRPr="00582729" w:rsidRDefault="00B82D54" w:rsidP="00B82D54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582729">
        <w:rPr>
          <w:rFonts w:ascii="Garamond" w:hAnsi="Garamond"/>
          <w:sz w:val="24"/>
          <w:szCs w:val="24"/>
          <w:lang w:val="sq-AL"/>
        </w:rPr>
        <w:t xml:space="preserve">7. Në çështjet kryesuese </w:t>
      </w:r>
      <w:r w:rsidRPr="00582729">
        <w:rPr>
          <w:rFonts w:ascii="Garamond" w:hAnsi="Garamond"/>
          <w:i/>
          <w:iCs/>
          <w:sz w:val="24"/>
          <w:szCs w:val="24"/>
          <w:lang w:val="sq-AL"/>
        </w:rPr>
        <w:t>Luli dhe të Tjerë kundër Shqipërisë</w:t>
      </w:r>
      <w:r w:rsidRPr="00582729">
        <w:rPr>
          <w:rFonts w:ascii="Garamond" w:hAnsi="Garamond"/>
          <w:sz w:val="24"/>
          <w:szCs w:val="24"/>
          <w:lang w:val="sq-AL"/>
        </w:rPr>
        <w:t xml:space="preserve">, nr. 64480/09 dhe 5 të tjerë, 1 </w:t>
      </w:r>
      <w:r w:rsidR="00582729">
        <w:rPr>
          <w:rFonts w:ascii="Garamond" w:hAnsi="Garamond"/>
          <w:sz w:val="24"/>
          <w:szCs w:val="24"/>
          <w:lang w:val="sq-AL"/>
        </w:rPr>
        <w:t>p</w:t>
      </w:r>
      <w:r w:rsidRPr="00582729">
        <w:rPr>
          <w:rFonts w:ascii="Garamond" w:hAnsi="Garamond"/>
          <w:sz w:val="24"/>
          <w:szCs w:val="24"/>
          <w:lang w:val="sq-AL"/>
        </w:rPr>
        <w:t xml:space="preserve">rill 2014, dhe </w:t>
      </w:r>
      <w:r w:rsidRPr="00582729">
        <w:rPr>
          <w:rFonts w:ascii="Garamond" w:hAnsi="Garamond"/>
          <w:i/>
          <w:iCs/>
          <w:sz w:val="24"/>
          <w:szCs w:val="24"/>
          <w:lang w:val="sq-AL"/>
        </w:rPr>
        <w:t>Mishgjoni kundër Shqipërisë</w:t>
      </w:r>
      <w:r w:rsidRPr="00582729">
        <w:rPr>
          <w:rFonts w:ascii="Garamond" w:hAnsi="Garamond"/>
          <w:sz w:val="24"/>
          <w:szCs w:val="24"/>
          <w:lang w:val="sq-AL"/>
        </w:rPr>
        <w:t xml:space="preserve">, nr. 18381/05, 7 </w:t>
      </w:r>
      <w:r w:rsidR="00582729">
        <w:rPr>
          <w:rFonts w:ascii="Garamond" w:hAnsi="Garamond"/>
          <w:sz w:val="24"/>
          <w:szCs w:val="24"/>
          <w:lang w:val="sq-AL"/>
        </w:rPr>
        <w:t>d</w:t>
      </w:r>
      <w:r w:rsidRPr="00582729">
        <w:rPr>
          <w:rFonts w:ascii="Garamond" w:hAnsi="Garamond"/>
          <w:sz w:val="24"/>
          <w:szCs w:val="24"/>
          <w:lang w:val="sq-AL"/>
        </w:rPr>
        <w:t xml:space="preserve">hjetor 2010, Gjykata tashmë ka konstatuar një shkelje në lidhje me aspekte të ngjashme në çështjen konkrete. </w:t>
      </w:r>
    </w:p>
    <w:p w14:paraId="080A840A" w14:textId="5EF5BE3A" w:rsidR="00B82D54" w:rsidRPr="00582729" w:rsidRDefault="00B82D54" w:rsidP="00B82D54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582729">
        <w:rPr>
          <w:rFonts w:ascii="Garamond" w:hAnsi="Garamond"/>
          <w:sz w:val="24"/>
          <w:szCs w:val="24"/>
          <w:lang w:val="sq-AL"/>
        </w:rPr>
        <w:lastRenderedPageBreak/>
        <w:t>8. Pasi shqyrtoi të gjithë materialin e paraqitur pranë saj, Gjykata nuk ka gjetur fakte apo argumente që mund të justifikojnë kohëzgjatjen e përgjithshme të procesit në nivel kombëtar. Mbështetur me praktikën e saj gjyqësore në lidhje me çështjen, Gjykata konstaton se në çështjen konkrete kohëzgjatja e procesit ishte e tepërt dhe nuk përmbushte kërkesën për “afat të arsyeshëm”.</w:t>
      </w:r>
    </w:p>
    <w:p w14:paraId="1678368C" w14:textId="4DB20FE2" w:rsidR="00B82D54" w:rsidRPr="00582729" w:rsidRDefault="00B82D54" w:rsidP="00B82D54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582729">
        <w:rPr>
          <w:rFonts w:ascii="Garamond" w:hAnsi="Garamond"/>
          <w:sz w:val="24"/>
          <w:szCs w:val="24"/>
          <w:lang w:val="sq-AL"/>
        </w:rPr>
        <w:t xml:space="preserve">9. Për këtë arsye, kjo ankesë është e pranueshme dhe konstatohet shkelje e </w:t>
      </w:r>
      <w:r w:rsidR="00582729">
        <w:rPr>
          <w:rFonts w:ascii="Garamond" w:hAnsi="Garamond"/>
          <w:sz w:val="24"/>
          <w:szCs w:val="24"/>
          <w:lang w:val="sq-AL"/>
        </w:rPr>
        <w:t>n</w:t>
      </w:r>
      <w:r w:rsidRPr="00582729">
        <w:rPr>
          <w:rFonts w:ascii="Garamond" w:hAnsi="Garamond"/>
          <w:sz w:val="24"/>
          <w:szCs w:val="24"/>
          <w:lang w:val="sq-AL"/>
        </w:rPr>
        <w:t xml:space="preserve">enit 6 §1 të Konventës. </w:t>
      </w:r>
    </w:p>
    <w:p w14:paraId="1CD15434" w14:textId="77777777" w:rsidR="00B82D54" w:rsidRPr="00582729" w:rsidRDefault="00B82D54" w:rsidP="00B82D54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582729">
        <w:rPr>
          <w:rFonts w:ascii="Garamond" w:hAnsi="Garamond"/>
          <w:sz w:val="24"/>
          <w:szCs w:val="24"/>
          <w:lang w:val="sq-AL"/>
        </w:rPr>
        <w:t>II. PRETENDIME PËR SHKELJE TË TJERA SIPAS PRAKTIKËS GJYQËSORE TË KONSOLIDUAR</w:t>
      </w:r>
    </w:p>
    <w:p w14:paraId="25982356" w14:textId="35AC6F28" w:rsidR="00B82D54" w:rsidRPr="00582729" w:rsidRDefault="00B82D54" w:rsidP="00B82D54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582729">
        <w:rPr>
          <w:rFonts w:ascii="Garamond" w:hAnsi="Garamond"/>
          <w:sz w:val="24"/>
          <w:szCs w:val="24"/>
          <w:lang w:val="sq-AL"/>
        </w:rPr>
        <w:t xml:space="preserve">10. Kërkuesi u ankua edhe në mbështetje të </w:t>
      </w:r>
      <w:r w:rsidR="00582729">
        <w:rPr>
          <w:rFonts w:ascii="Garamond" w:hAnsi="Garamond"/>
          <w:sz w:val="24"/>
          <w:szCs w:val="24"/>
          <w:lang w:val="sq-AL"/>
        </w:rPr>
        <w:t>n</w:t>
      </w:r>
      <w:r w:rsidRPr="00582729">
        <w:rPr>
          <w:rFonts w:ascii="Garamond" w:hAnsi="Garamond"/>
          <w:sz w:val="24"/>
          <w:szCs w:val="24"/>
          <w:lang w:val="sq-AL"/>
        </w:rPr>
        <w:t>enit 13 të Konventës për mungesë të mjeteve të brendshme në lidhje me ankesën e tij për kohëzgjatjen e procesit. Duke mbajtur në konsideratë faktet e çështjes, parashtrimet e palëve dhe konstatimet e saj në paragrafin 9 më sipër, Gjykata vlerëson se ka shqyrtuar çështjen kryesore ligjore në kërkesën konkrete. Ajo konstaton se nuk është e nevojshme që të jepet një vendim i veçantë për këtë kërkesë (shih</w:t>
      </w:r>
      <w:r w:rsidR="00582729">
        <w:rPr>
          <w:rFonts w:ascii="Garamond" w:hAnsi="Garamond"/>
          <w:sz w:val="24"/>
          <w:szCs w:val="24"/>
          <w:lang w:val="sq-AL"/>
        </w:rPr>
        <w:t>:</w:t>
      </w:r>
      <w:r w:rsidRPr="00582729">
        <w:rPr>
          <w:rFonts w:ascii="Garamond" w:hAnsi="Garamond"/>
          <w:sz w:val="24"/>
          <w:szCs w:val="24"/>
          <w:lang w:val="sq-AL"/>
        </w:rPr>
        <w:t xml:space="preserve"> </w:t>
      </w:r>
      <w:r w:rsidRPr="00582729">
        <w:rPr>
          <w:rFonts w:ascii="Garamond" w:hAnsi="Garamond"/>
          <w:i/>
          <w:iCs/>
          <w:sz w:val="24"/>
          <w:szCs w:val="24"/>
          <w:lang w:val="sq-AL"/>
        </w:rPr>
        <w:t xml:space="preserve">Qendra për Burimet Ligjore në emër të Valentin Câmpeanu kundër Rumanisë </w:t>
      </w:r>
      <w:r w:rsidRPr="00582729">
        <w:rPr>
          <w:rFonts w:ascii="Garamond" w:hAnsi="Garamond"/>
          <w:sz w:val="24"/>
          <w:szCs w:val="24"/>
          <w:lang w:val="sq-AL"/>
        </w:rPr>
        <w:t xml:space="preserve">[DHM], nr. 47848/08, § 156, GJEDNJ 2014, dhe </w:t>
      </w:r>
      <w:r w:rsidRPr="00582729">
        <w:rPr>
          <w:rFonts w:ascii="Garamond" w:hAnsi="Garamond"/>
          <w:i/>
          <w:iCs/>
          <w:sz w:val="24"/>
          <w:szCs w:val="24"/>
          <w:lang w:val="sq-AL"/>
        </w:rPr>
        <w:t xml:space="preserve">Habilaj kundër Shqipërisë </w:t>
      </w:r>
      <w:r w:rsidRPr="00582729">
        <w:rPr>
          <w:rFonts w:ascii="Garamond" w:hAnsi="Garamond"/>
          <w:sz w:val="24"/>
          <w:szCs w:val="24"/>
          <w:lang w:val="sq-AL"/>
        </w:rPr>
        <w:t xml:space="preserve">[Komiteti], nr. 2480/10, § 14, 15 </w:t>
      </w:r>
      <w:r w:rsidR="00582729">
        <w:rPr>
          <w:rFonts w:ascii="Garamond" w:hAnsi="Garamond"/>
          <w:sz w:val="24"/>
          <w:szCs w:val="24"/>
          <w:lang w:val="sq-AL"/>
        </w:rPr>
        <w:t>s</w:t>
      </w:r>
      <w:r w:rsidRPr="00582729">
        <w:rPr>
          <w:rFonts w:ascii="Garamond" w:hAnsi="Garamond"/>
          <w:sz w:val="24"/>
          <w:szCs w:val="24"/>
          <w:lang w:val="sq-AL"/>
        </w:rPr>
        <w:t xml:space="preserve">htator 2022). </w:t>
      </w:r>
    </w:p>
    <w:p w14:paraId="589068EA" w14:textId="77777777" w:rsidR="00B82D54" w:rsidRPr="00582729" w:rsidRDefault="00B82D54" w:rsidP="00B82D54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582729">
        <w:rPr>
          <w:rFonts w:ascii="Garamond" w:hAnsi="Garamond"/>
          <w:sz w:val="24"/>
          <w:szCs w:val="24"/>
          <w:lang w:val="sq-AL"/>
        </w:rPr>
        <w:t>III. ANKESAT E TJERA</w:t>
      </w:r>
    </w:p>
    <w:p w14:paraId="3715CE92" w14:textId="1C61CF19" w:rsidR="00B82D54" w:rsidRPr="00582729" w:rsidRDefault="00B82D54" w:rsidP="00B82D54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582729">
        <w:rPr>
          <w:rFonts w:ascii="Garamond" w:hAnsi="Garamond"/>
          <w:sz w:val="24"/>
          <w:szCs w:val="24"/>
          <w:lang w:val="sq-AL"/>
        </w:rPr>
        <w:t xml:space="preserve">11. Kërkuesi u ankua edhe në mbështetje të </w:t>
      </w:r>
      <w:r w:rsidR="00582729">
        <w:rPr>
          <w:rFonts w:ascii="Garamond" w:hAnsi="Garamond"/>
          <w:sz w:val="24"/>
          <w:szCs w:val="24"/>
          <w:lang w:val="sq-AL"/>
        </w:rPr>
        <w:t>n</w:t>
      </w:r>
      <w:r w:rsidRPr="00582729">
        <w:rPr>
          <w:rFonts w:ascii="Garamond" w:hAnsi="Garamond"/>
          <w:sz w:val="24"/>
          <w:szCs w:val="24"/>
          <w:lang w:val="sq-AL"/>
        </w:rPr>
        <w:t>enit 1</w:t>
      </w:r>
      <w:r w:rsidR="00582729">
        <w:rPr>
          <w:rFonts w:ascii="Garamond" w:hAnsi="Garamond"/>
          <w:sz w:val="24"/>
          <w:szCs w:val="24"/>
          <w:lang w:val="sq-AL"/>
        </w:rPr>
        <w:t>,</w:t>
      </w:r>
      <w:r w:rsidRPr="00582729">
        <w:rPr>
          <w:rFonts w:ascii="Garamond" w:hAnsi="Garamond"/>
          <w:sz w:val="24"/>
          <w:szCs w:val="24"/>
          <w:lang w:val="sq-AL"/>
        </w:rPr>
        <w:t xml:space="preserve"> të Protokollit </w:t>
      </w:r>
      <w:r w:rsidR="00582729">
        <w:rPr>
          <w:rFonts w:ascii="Garamond" w:hAnsi="Garamond"/>
          <w:sz w:val="24"/>
          <w:szCs w:val="24"/>
          <w:lang w:val="sq-AL"/>
        </w:rPr>
        <w:t>n</w:t>
      </w:r>
      <w:r w:rsidRPr="00582729">
        <w:rPr>
          <w:rFonts w:ascii="Garamond" w:hAnsi="Garamond"/>
          <w:sz w:val="24"/>
          <w:szCs w:val="24"/>
          <w:lang w:val="sq-AL"/>
        </w:rPr>
        <w:t>r. 1</w:t>
      </w:r>
      <w:r w:rsidR="00582729">
        <w:rPr>
          <w:rFonts w:ascii="Garamond" w:hAnsi="Garamond"/>
          <w:sz w:val="24"/>
          <w:szCs w:val="24"/>
          <w:lang w:val="sq-AL"/>
        </w:rPr>
        <w:t>,</w:t>
      </w:r>
      <w:r w:rsidRPr="00582729">
        <w:rPr>
          <w:rFonts w:ascii="Garamond" w:hAnsi="Garamond"/>
          <w:sz w:val="24"/>
          <w:szCs w:val="24"/>
          <w:lang w:val="sq-AL"/>
        </w:rPr>
        <w:t xml:space="preserve"> në lidhje me legalizimin e ndërtimeve të paligjshme të palëve të treta në pronën e kërkuesit.</w:t>
      </w:r>
    </w:p>
    <w:p w14:paraId="5AA290A7" w14:textId="0360E555" w:rsidR="00B82D54" w:rsidRPr="00582729" w:rsidRDefault="00B82D54" w:rsidP="00B82D54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582729">
        <w:rPr>
          <w:rFonts w:ascii="Garamond" w:hAnsi="Garamond"/>
          <w:sz w:val="24"/>
          <w:szCs w:val="24"/>
          <w:lang w:val="sq-AL"/>
        </w:rPr>
        <w:t>12. Gjykata thekson parimet që udhëheqin statusin e viktimës së një kërkuesi. Një vendim apo masë e favorshme për një kërkues në parim nuk është mjaftueshëm për të privuar kërkuesin nga statusi i tij apo i saj si “viktimë” nëse autoritetet vendase nuk kanë njohur shprehimisht apo në thelb, dhe më pas të kenë ofruar korrigjim për, shkeljen e Konventës (shih</w:t>
      </w:r>
      <w:r w:rsidR="00582729">
        <w:rPr>
          <w:rFonts w:ascii="Garamond" w:hAnsi="Garamond"/>
          <w:sz w:val="24"/>
          <w:szCs w:val="24"/>
          <w:lang w:val="sq-AL"/>
        </w:rPr>
        <w:t>:</w:t>
      </w:r>
      <w:r w:rsidRPr="00582729">
        <w:rPr>
          <w:rFonts w:ascii="Garamond" w:hAnsi="Garamond"/>
          <w:sz w:val="24"/>
          <w:szCs w:val="24"/>
          <w:lang w:val="sq-AL"/>
        </w:rPr>
        <w:t xml:space="preserve"> </w:t>
      </w:r>
      <w:r w:rsidRPr="00582729">
        <w:rPr>
          <w:rFonts w:ascii="Garamond" w:hAnsi="Garamond"/>
          <w:i/>
          <w:iCs/>
          <w:sz w:val="24"/>
          <w:szCs w:val="24"/>
          <w:lang w:val="sq-AL"/>
        </w:rPr>
        <w:t xml:space="preserve">Murray kundër Holandës </w:t>
      </w:r>
      <w:r w:rsidRPr="00582729">
        <w:rPr>
          <w:rFonts w:ascii="Garamond" w:hAnsi="Garamond"/>
          <w:sz w:val="24"/>
          <w:szCs w:val="24"/>
          <w:lang w:val="sq-AL"/>
        </w:rPr>
        <w:t xml:space="preserve">[DHM], nr. 10511/10, § 41, 26 </w:t>
      </w:r>
      <w:r w:rsidR="00582729">
        <w:rPr>
          <w:rFonts w:ascii="Garamond" w:hAnsi="Garamond"/>
          <w:sz w:val="24"/>
          <w:szCs w:val="24"/>
          <w:lang w:val="sq-AL"/>
        </w:rPr>
        <w:t>p</w:t>
      </w:r>
      <w:r w:rsidRPr="00582729">
        <w:rPr>
          <w:rFonts w:ascii="Garamond" w:hAnsi="Garamond"/>
          <w:sz w:val="24"/>
          <w:szCs w:val="24"/>
          <w:lang w:val="sq-AL"/>
        </w:rPr>
        <w:t xml:space="preserve">rill 2016, dhe </w:t>
      </w:r>
      <w:r w:rsidRPr="00582729">
        <w:rPr>
          <w:rFonts w:ascii="Garamond" w:hAnsi="Garamond"/>
          <w:i/>
          <w:iCs/>
          <w:sz w:val="24"/>
          <w:szCs w:val="24"/>
          <w:lang w:val="sq-AL"/>
        </w:rPr>
        <w:t>Nada kundër Zvicrës</w:t>
      </w:r>
      <w:r w:rsidRPr="00582729">
        <w:rPr>
          <w:rFonts w:ascii="Garamond" w:hAnsi="Garamond"/>
          <w:sz w:val="24"/>
          <w:szCs w:val="24"/>
          <w:lang w:val="sq-AL"/>
        </w:rPr>
        <w:t xml:space="preserve"> [DHM], nr. 10593/08, § 128, GJEDNJ 2012). Njohja dhe korrigjimi shpesh vijnë si rezultat i shterimit të mjeteve vendase (shih</w:t>
      </w:r>
      <w:r w:rsidR="00582729">
        <w:rPr>
          <w:rFonts w:ascii="Garamond" w:hAnsi="Garamond"/>
          <w:sz w:val="24"/>
          <w:szCs w:val="24"/>
          <w:lang w:val="sq-AL"/>
        </w:rPr>
        <w:t>:</w:t>
      </w:r>
      <w:r w:rsidRPr="00582729">
        <w:rPr>
          <w:rFonts w:ascii="Garamond" w:hAnsi="Garamond"/>
          <w:sz w:val="24"/>
          <w:szCs w:val="24"/>
          <w:lang w:val="sq-AL"/>
        </w:rPr>
        <w:t xml:space="preserve"> </w:t>
      </w:r>
      <w:r w:rsidRPr="00582729">
        <w:rPr>
          <w:rFonts w:ascii="Garamond" w:hAnsi="Garamond"/>
          <w:i/>
          <w:iCs/>
          <w:sz w:val="24"/>
          <w:szCs w:val="24"/>
          <w:lang w:val="sq-AL"/>
        </w:rPr>
        <w:t>Staykov kundër Bullgarisë</w:t>
      </w:r>
      <w:r w:rsidRPr="00582729">
        <w:rPr>
          <w:rFonts w:ascii="Garamond" w:hAnsi="Garamond"/>
          <w:sz w:val="24"/>
          <w:szCs w:val="24"/>
          <w:lang w:val="sq-AL"/>
        </w:rPr>
        <w:t xml:space="preserve">, nr. 49438/99, §89, 12 </w:t>
      </w:r>
      <w:r w:rsidR="00582729">
        <w:rPr>
          <w:rFonts w:ascii="Garamond" w:hAnsi="Garamond"/>
          <w:sz w:val="24"/>
          <w:szCs w:val="24"/>
          <w:lang w:val="sq-AL"/>
        </w:rPr>
        <w:t>t</w:t>
      </w:r>
      <w:r w:rsidRPr="00582729">
        <w:rPr>
          <w:rFonts w:ascii="Garamond" w:hAnsi="Garamond"/>
          <w:sz w:val="24"/>
          <w:szCs w:val="24"/>
          <w:lang w:val="sq-AL"/>
        </w:rPr>
        <w:t xml:space="preserve">etor 2006, dhe </w:t>
      </w:r>
      <w:r w:rsidRPr="00582729">
        <w:rPr>
          <w:rFonts w:ascii="Garamond" w:hAnsi="Garamond"/>
          <w:i/>
          <w:iCs/>
          <w:sz w:val="24"/>
          <w:szCs w:val="24"/>
          <w:lang w:val="sq-AL"/>
        </w:rPr>
        <w:t>C dhe D kundër Kroacisë</w:t>
      </w:r>
      <w:r w:rsidRPr="00582729">
        <w:rPr>
          <w:rFonts w:ascii="Garamond" w:hAnsi="Garamond"/>
          <w:sz w:val="24"/>
          <w:szCs w:val="24"/>
          <w:lang w:val="sq-AL"/>
        </w:rPr>
        <w:t xml:space="preserve"> (vendim), nr. 43317/07, 14 </w:t>
      </w:r>
      <w:r w:rsidR="00582729">
        <w:rPr>
          <w:rFonts w:ascii="Garamond" w:hAnsi="Garamond"/>
          <w:sz w:val="24"/>
          <w:szCs w:val="24"/>
          <w:lang w:val="sq-AL"/>
        </w:rPr>
        <w:t>t</w:t>
      </w:r>
      <w:r w:rsidRPr="00582729">
        <w:rPr>
          <w:rFonts w:ascii="Garamond" w:hAnsi="Garamond"/>
          <w:sz w:val="24"/>
          <w:szCs w:val="24"/>
          <w:lang w:val="sq-AL"/>
        </w:rPr>
        <w:t xml:space="preserve">etor 2010). </w:t>
      </w:r>
    </w:p>
    <w:p w14:paraId="299439CD" w14:textId="374AABC5" w:rsidR="00B82D54" w:rsidRPr="00582729" w:rsidRDefault="00B82D54" w:rsidP="00B82D54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582729">
        <w:rPr>
          <w:rFonts w:ascii="Garamond" w:hAnsi="Garamond"/>
          <w:sz w:val="24"/>
          <w:szCs w:val="24"/>
          <w:lang w:val="sq-AL"/>
        </w:rPr>
        <w:t>13. Duke u kthyer tek rrethanat e çështjes konkrete, Gjykata konstaton se kërkuesi depozitoi kërkesën e tij pranë Gjykatës teksa procesi vendas ishte ende në vijim. Ndërkohë, gjykatat vendase kishin njohur pronësinë e kërkuesit ndaj truallit dhe i kishin akorduar kompensim në shumën prej 3,135,000 lekë. Kërkuesi nuk u ankua për shumën e kompensimit të akorduar dhe nuk u ankua as për faktin se në vend të prishjes së ndërtimeve pa leje i ishte akorduar kompensim.</w:t>
      </w:r>
    </w:p>
    <w:p w14:paraId="367A2CDD" w14:textId="45220690" w:rsidR="00B82D54" w:rsidRPr="00582729" w:rsidRDefault="00B82D54" w:rsidP="00B82D54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582729">
        <w:rPr>
          <w:rFonts w:ascii="Garamond" w:hAnsi="Garamond"/>
          <w:sz w:val="24"/>
          <w:szCs w:val="24"/>
          <w:lang w:val="sq-AL"/>
        </w:rPr>
        <w:t xml:space="preserve">14. Gjykata thekson se në rastin kur kërkuesi pranon një shumë kompensimi si zgjidhje për një padi civile dhe heq dorë nga përdorimi i mëtejshëm i mjeteve vendase, ai ose ajo, përgjithësisht, nuk ka më mundësinë që të pretendojë të jetë viktimë në lidhje me këto çështje (shih </w:t>
      </w:r>
      <w:r w:rsidRPr="00582729">
        <w:rPr>
          <w:rFonts w:ascii="Garamond" w:hAnsi="Garamond"/>
          <w:i/>
          <w:iCs/>
          <w:sz w:val="24"/>
          <w:szCs w:val="24"/>
          <w:lang w:val="sq-AL"/>
        </w:rPr>
        <w:t>mutatis mutandis</w:t>
      </w:r>
      <w:r w:rsidRPr="00582729">
        <w:rPr>
          <w:rFonts w:ascii="Garamond" w:hAnsi="Garamond"/>
          <w:sz w:val="24"/>
          <w:szCs w:val="24"/>
          <w:lang w:val="sq-AL"/>
        </w:rPr>
        <w:t xml:space="preserve">, </w:t>
      </w:r>
      <w:r w:rsidRPr="00582729">
        <w:rPr>
          <w:rFonts w:ascii="Garamond" w:hAnsi="Garamond"/>
          <w:i/>
          <w:iCs/>
          <w:sz w:val="24"/>
          <w:szCs w:val="24"/>
          <w:lang w:val="sq-AL"/>
        </w:rPr>
        <w:t>Powell kundër Mbretërisë së Bashkuar</w:t>
      </w:r>
      <w:r w:rsidRPr="00582729">
        <w:rPr>
          <w:rFonts w:ascii="Garamond" w:hAnsi="Garamond"/>
          <w:sz w:val="24"/>
          <w:szCs w:val="24"/>
          <w:lang w:val="sq-AL"/>
        </w:rPr>
        <w:t xml:space="preserve"> (vendim), nr. 45305/99, GJEDNJ 2000 V). </w:t>
      </w:r>
    </w:p>
    <w:p w14:paraId="0817E764" w14:textId="6CDD632E" w:rsidR="00B82D54" w:rsidRPr="00582729" w:rsidRDefault="00B82D54" w:rsidP="00B82D54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582729">
        <w:rPr>
          <w:rFonts w:ascii="Garamond" w:hAnsi="Garamond"/>
          <w:sz w:val="24"/>
          <w:szCs w:val="24"/>
          <w:lang w:val="sq-AL"/>
        </w:rPr>
        <w:t xml:space="preserve">15. Gjykata thekson se njohja e të drejtave të pronësisë së një kërkuesi është e barabartë me njohjen e një shkelje. Kërkuesit i është akorduar edhe kompensimi i përshtatshëm për të cilin ai nuk u ankua. Për këtë arsye, ai nuk mund të konsiderohet më viktimë e shkeljes së pretenduar. Rrjedhimisht, kjo ankesë duhet të rrëzohet në përputhje me </w:t>
      </w:r>
      <w:r w:rsidR="00582729">
        <w:rPr>
          <w:rFonts w:ascii="Garamond" w:hAnsi="Garamond"/>
          <w:sz w:val="24"/>
          <w:szCs w:val="24"/>
          <w:lang w:val="sq-AL"/>
        </w:rPr>
        <w:t>n</w:t>
      </w:r>
      <w:r w:rsidRPr="00582729">
        <w:rPr>
          <w:rFonts w:ascii="Garamond" w:hAnsi="Garamond"/>
          <w:sz w:val="24"/>
          <w:szCs w:val="24"/>
          <w:lang w:val="sq-AL"/>
        </w:rPr>
        <w:t>enin 35 §§3 (a) dhe 4 të Konventës.</w:t>
      </w:r>
    </w:p>
    <w:p w14:paraId="18149749" w14:textId="77777777" w:rsidR="00B82D54" w:rsidRPr="00582729" w:rsidRDefault="00B82D54" w:rsidP="00B82D54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582729">
        <w:rPr>
          <w:rFonts w:ascii="Garamond" w:hAnsi="Garamond"/>
          <w:sz w:val="24"/>
          <w:szCs w:val="24"/>
          <w:lang w:val="sq-AL"/>
        </w:rPr>
        <w:t>IV. ZBATIMI I NENIT 41 TË KONVENTËS</w:t>
      </w:r>
    </w:p>
    <w:p w14:paraId="68FC8895" w14:textId="0432CC8F" w:rsidR="00B82D54" w:rsidRPr="00582729" w:rsidRDefault="00B82D54" w:rsidP="00B82D54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582729">
        <w:rPr>
          <w:rFonts w:ascii="Garamond" w:hAnsi="Garamond"/>
          <w:sz w:val="24"/>
          <w:szCs w:val="24"/>
          <w:lang w:val="sq-AL"/>
        </w:rPr>
        <w:t>16. Neni 41 i Konventës parashikon:</w:t>
      </w:r>
    </w:p>
    <w:p w14:paraId="3B10BDC1" w14:textId="2BDE2C58" w:rsidR="00B82D54" w:rsidRPr="00582729" w:rsidRDefault="00B82D54" w:rsidP="00B82D54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582729">
        <w:rPr>
          <w:rFonts w:ascii="Garamond" w:hAnsi="Garamond"/>
          <w:sz w:val="24"/>
          <w:szCs w:val="24"/>
          <w:lang w:val="sq-AL"/>
        </w:rPr>
        <w:t xml:space="preserve"> “Kur Gjykata konstaton se ka pasur një shkelje të Konventës ose të protokolleve të saj dhe, nëse e drejta e brendshme e Palës së Lartë Kontraktuese lejon të bëhet vetëm një ndreqje e pjesshme, Gjykata, kur është e nevojshme, i akordon shpërblim të drejtë palës së dëmtuar.”</w:t>
      </w:r>
      <w:r w:rsidR="00582729">
        <w:rPr>
          <w:rFonts w:ascii="Garamond" w:hAnsi="Garamond"/>
          <w:sz w:val="24"/>
          <w:szCs w:val="24"/>
          <w:lang w:val="sq-AL"/>
        </w:rPr>
        <w:t>.</w:t>
      </w:r>
    </w:p>
    <w:p w14:paraId="0C4C7819" w14:textId="1948F163" w:rsidR="00B82D54" w:rsidRPr="00582729" w:rsidRDefault="00B82D54" w:rsidP="00B82D54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582729">
        <w:rPr>
          <w:rFonts w:ascii="Garamond" w:hAnsi="Garamond"/>
          <w:sz w:val="24"/>
          <w:szCs w:val="24"/>
          <w:lang w:val="sq-AL"/>
        </w:rPr>
        <w:t xml:space="preserve">17. Për sa i përket dokumenteve në zotërimin e saj dhe praktikës së saj gjyqësore (shih veçanërisht </w:t>
      </w:r>
      <w:r w:rsidRPr="00582729">
        <w:rPr>
          <w:rFonts w:ascii="Garamond" w:hAnsi="Garamond"/>
          <w:i/>
          <w:iCs/>
          <w:sz w:val="24"/>
          <w:szCs w:val="24"/>
          <w:lang w:val="sq-AL"/>
        </w:rPr>
        <w:t>Luli dhe të Tjerë</w:t>
      </w:r>
      <w:r w:rsidRPr="00582729">
        <w:rPr>
          <w:rFonts w:ascii="Garamond" w:hAnsi="Garamond"/>
          <w:sz w:val="24"/>
          <w:szCs w:val="24"/>
          <w:lang w:val="sq-AL"/>
        </w:rPr>
        <w:t xml:space="preserve">, cituar më sipër, dhe </w:t>
      </w:r>
      <w:r w:rsidRPr="00582729">
        <w:rPr>
          <w:rFonts w:ascii="Garamond" w:hAnsi="Garamond"/>
          <w:i/>
          <w:iCs/>
          <w:sz w:val="24"/>
          <w:szCs w:val="24"/>
          <w:lang w:val="sq-AL"/>
        </w:rPr>
        <w:t>Mishgjoni</w:t>
      </w:r>
      <w:r w:rsidRPr="00582729">
        <w:rPr>
          <w:rFonts w:ascii="Garamond" w:hAnsi="Garamond"/>
          <w:sz w:val="24"/>
          <w:szCs w:val="24"/>
          <w:lang w:val="sq-AL"/>
        </w:rPr>
        <w:t>, gjithashtu cituar më sipër), Gjykata e vlerëson të arsyeshme të akordoj</w:t>
      </w:r>
      <w:r w:rsidR="00582729">
        <w:rPr>
          <w:rFonts w:ascii="Garamond" w:hAnsi="Garamond"/>
          <w:sz w:val="24"/>
          <w:szCs w:val="24"/>
          <w:lang w:val="sq-AL"/>
        </w:rPr>
        <w:t>ë</w:t>
      </w:r>
      <w:r w:rsidRPr="00582729">
        <w:rPr>
          <w:rFonts w:ascii="Garamond" w:hAnsi="Garamond"/>
          <w:sz w:val="24"/>
          <w:szCs w:val="24"/>
          <w:lang w:val="sq-AL"/>
        </w:rPr>
        <w:t xml:space="preserve"> shumën në tabelën bashkëlidhur. </w:t>
      </w:r>
    </w:p>
    <w:p w14:paraId="6CA80888" w14:textId="77777777" w:rsidR="00B82D54" w:rsidRPr="00582729" w:rsidRDefault="00B82D54" w:rsidP="00B82D54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582729">
        <w:rPr>
          <w:rFonts w:ascii="Garamond" w:hAnsi="Garamond"/>
          <w:sz w:val="24"/>
          <w:szCs w:val="24"/>
          <w:lang w:val="sq-AL"/>
        </w:rPr>
        <w:t>PËR KËTO ARSYE, GJYKATA, NË MËNYRË UNANIME,</w:t>
      </w:r>
    </w:p>
    <w:p w14:paraId="055C451E" w14:textId="59A9D7E1" w:rsidR="00B82D54" w:rsidRPr="00582729" w:rsidRDefault="00B82D54" w:rsidP="00B82D54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582729">
        <w:rPr>
          <w:rFonts w:ascii="Garamond" w:hAnsi="Garamond"/>
          <w:i/>
          <w:iCs/>
          <w:sz w:val="24"/>
          <w:szCs w:val="24"/>
          <w:lang w:val="sq-AL"/>
        </w:rPr>
        <w:lastRenderedPageBreak/>
        <w:t xml:space="preserve">1. E shpall </w:t>
      </w:r>
      <w:r w:rsidRPr="00582729">
        <w:rPr>
          <w:rFonts w:ascii="Garamond" w:hAnsi="Garamond"/>
          <w:sz w:val="24"/>
          <w:szCs w:val="24"/>
          <w:lang w:val="sq-AL"/>
        </w:rPr>
        <w:t xml:space="preserve">ankesën në lidhje me kohëzgjatjen e procesit në mbështetje të </w:t>
      </w:r>
      <w:r w:rsidR="00582729">
        <w:rPr>
          <w:rFonts w:ascii="Garamond" w:hAnsi="Garamond"/>
          <w:sz w:val="24"/>
          <w:szCs w:val="24"/>
          <w:lang w:val="sq-AL"/>
        </w:rPr>
        <w:t>n</w:t>
      </w:r>
      <w:r w:rsidRPr="00582729">
        <w:rPr>
          <w:rFonts w:ascii="Garamond" w:hAnsi="Garamond"/>
          <w:sz w:val="24"/>
          <w:szCs w:val="24"/>
          <w:lang w:val="sq-AL"/>
        </w:rPr>
        <w:t xml:space="preserve">enit 6 të Konventës, të pranueshme, </w:t>
      </w:r>
      <w:r w:rsidRPr="00582729">
        <w:rPr>
          <w:rFonts w:ascii="Garamond" w:hAnsi="Garamond"/>
          <w:i/>
          <w:iCs/>
          <w:sz w:val="24"/>
          <w:szCs w:val="24"/>
          <w:lang w:val="sq-AL"/>
        </w:rPr>
        <w:t>konstaton</w:t>
      </w:r>
      <w:r w:rsidRPr="00582729">
        <w:rPr>
          <w:rFonts w:ascii="Garamond" w:hAnsi="Garamond"/>
          <w:sz w:val="24"/>
          <w:szCs w:val="24"/>
          <w:lang w:val="sq-AL"/>
        </w:rPr>
        <w:t xml:space="preserve"> se nuk është e </w:t>
      </w:r>
      <w:r w:rsidRPr="008B2BBC">
        <w:rPr>
          <w:rFonts w:ascii="Garamond" w:hAnsi="Garamond"/>
          <w:sz w:val="24"/>
          <w:szCs w:val="24"/>
          <w:lang w:val="sq-AL"/>
        </w:rPr>
        <w:t>nevojshme që kërkesa të shqyrtohet veçantë</w:t>
      </w:r>
      <w:r w:rsidRPr="00582729">
        <w:rPr>
          <w:rFonts w:ascii="Garamond" w:hAnsi="Garamond"/>
          <w:sz w:val="24"/>
          <w:szCs w:val="24"/>
          <w:lang w:val="sq-AL"/>
        </w:rPr>
        <w:t xml:space="preserve"> në mbështetje të </w:t>
      </w:r>
      <w:r w:rsidR="00582729">
        <w:rPr>
          <w:rFonts w:ascii="Garamond" w:hAnsi="Garamond"/>
          <w:sz w:val="24"/>
          <w:szCs w:val="24"/>
          <w:lang w:val="sq-AL"/>
        </w:rPr>
        <w:t>n</w:t>
      </w:r>
      <w:r w:rsidRPr="00582729">
        <w:rPr>
          <w:rFonts w:ascii="Garamond" w:hAnsi="Garamond"/>
          <w:sz w:val="24"/>
          <w:szCs w:val="24"/>
          <w:lang w:val="sq-AL"/>
        </w:rPr>
        <w:t xml:space="preserve">enit 13 të Konventës, dhe </w:t>
      </w:r>
      <w:r w:rsidRPr="00582729">
        <w:rPr>
          <w:rFonts w:ascii="Garamond" w:hAnsi="Garamond"/>
          <w:i/>
          <w:iCs/>
          <w:sz w:val="24"/>
          <w:szCs w:val="24"/>
          <w:lang w:val="sq-AL"/>
        </w:rPr>
        <w:t xml:space="preserve">e shpall </w:t>
      </w:r>
      <w:r w:rsidRPr="00582729">
        <w:rPr>
          <w:rFonts w:ascii="Garamond" w:hAnsi="Garamond"/>
          <w:sz w:val="24"/>
          <w:szCs w:val="24"/>
          <w:lang w:val="sq-AL"/>
        </w:rPr>
        <w:t>pjesën tjetër të kërkesës të papranueshme;</w:t>
      </w:r>
    </w:p>
    <w:p w14:paraId="3FD43F2E" w14:textId="4915AE25" w:rsidR="00B82D54" w:rsidRPr="00582729" w:rsidRDefault="00B82D54" w:rsidP="00B82D54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582729">
        <w:rPr>
          <w:rFonts w:ascii="Garamond" w:hAnsi="Garamond"/>
          <w:i/>
          <w:iCs/>
          <w:sz w:val="24"/>
          <w:szCs w:val="24"/>
          <w:lang w:val="sq-AL"/>
        </w:rPr>
        <w:t xml:space="preserve">2. Gjykon </w:t>
      </w:r>
      <w:r w:rsidRPr="00582729">
        <w:rPr>
          <w:rFonts w:ascii="Garamond" w:hAnsi="Garamond"/>
          <w:sz w:val="24"/>
          <w:szCs w:val="24"/>
          <w:lang w:val="sq-AL"/>
        </w:rPr>
        <w:t xml:space="preserve">se është shkelur </w:t>
      </w:r>
      <w:r w:rsidR="00582729">
        <w:rPr>
          <w:rFonts w:ascii="Garamond" w:hAnsi="Garamond"/>
          <w:sz w:val="24"/>
          <w:szCs w:val="24"/>
          <w:lang w:val="sq-AL"/>
        </w:rPr>
        <w:t>n</w:t>
      </w:r>
      <w:r w:rsidRPr="00582729">
        <w:rPr>
          <w:rFonts w:ascii="Garamond" w:hAnsi="Garamond"/>
          <w:sz w:val="24"/>
          <w:szCs w:val="24"/>
          <w:lang w:val="sq-AL"/>
        </w:rPr>
        <w:t xml:space="preserve">eni 6 §1 i Konventës në lidhje me kohëzgjatjen e tepërt të procesit civil; </w:t>
      </w:r>
    </w:p>
    <w:p w14:paraId="4C8892CA" w14:textId="5F5FE06D" w:rsidR="00B82D54" w:rsidRPr="00582729" w:rsidRDefault="00B82D54" w:rsidP="00B82D54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582729">
        <w:rPr>
          <w:rFonts w:ascii="Garamond" w:hAnsi="Garamond"/>
          <w:i/>
          <w:iCs/>
          <w:sz w:val="24"/>
          <w:szCs w:val="24"/>
          <w:lang w:val="sq-AL"/>
        </w:rPr>
        <w:t>3. Gjykon</w:t>
      </w:r>
      <w:r w:rsidR="00582729">
        <w:rPr>
          <w:rFonts w:ascii="Garamond" w:hAnsi="Garamond"/>
          <w:i/>
          <w:iCs/>
          <w:sz w:val="24"/>
          <w:szCs w:val="24"/>
          <w:lang w:val="sq-AL"/>
        </w:rPr>
        <w:t>:</w:t>
      </w:r>
    </w:p>
    <w:p w14:paraId="2E742960" w14:textId="3738A46F" w:rsidR="00B82D54" w:rsidRPr="00582729" w:rsidRDefault="00B82D54" w:rsidP="00B82D54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582729">
        <w:rPr>
          <w:rFonts w:ascii="Garamond" w:hAnsi="Garamond"/>
          <w:sz w:val="24"/>
          <w:szCs w:val="24"/>
          <w:lang w:val="sq-AL"/>
        </w:rPr>
        <w:t xml:space="preserve">a) se </w:t>
      </w:r>
      <w:r w:rsidR="00582729">
        <w:rPr>
          <w:rFonts w:ascii="Garamond" w:hAnsi="Garamond"/>
          <w:sz w:val="24"/>
          <w:szCs w:val="24"/>
          <w:lang w:val="sq-AL"/>
        </w:rPr>
        <w:t>s</w:t>
      </w:r>
      <w:r w:rsidRPr="00582729">
        <w:rPr>
          <w:rFonts w:ascii="Garamond" w:hAnsi="Garamond"/>
          <w:sz w:val="24"/>
          <w:szCs w:val="24"/>
          <w:lang w:val="sq-AL"/>
        </w:rPr>
        <w:t xml:space="preserve">hteti përgjegjës duhet t’i paguajë kërkuesit, brenda tre muajve, shumën e përcaktuar në tabelën bashkëlidhur, e cila duhet të konvertohet në monedhën e </w:t>
      </w:r>
      <w:r w:rsidR="00582729">
        <w:rPr>
          <w:rFonts w:ascii="Garamond" w:hAnsi="Garamond"/>
          <w:sz w:val="24"/>
          <w:szCs w:val="24"/>
          <w:lang w:val="sq-AL"/>
        </w:rPr>
        <w:t>s</w:t>
      </w:r>
      <w:r w:rsidRPr="00582729">
        <w:rPr>
          <w:rFonts w:ascii="Garamond" w:hAnsi="Garamond"/>
          <w:sz w:val="24"/>
          <w:szCs w:val="24"/>
          <w:lang w:val="sq-AL"/>
        </w:rPr>
        <w:t xml:space="preserve">htetit përgjegjës në normën e zbatueshme në datën e shlyerjes; </w:t>
      </w:r>
    </w:p>
    <w:p w14:paraId="3964011F" w14:textId="412053B3" w:rsidR="00B82D54" w:rsidRPr="00582729" w:rsidRDefault="00B82D54" w:rsidP="00B82D54">
      <w:pPr>
        <w:pStyle w:val="NoSpacing"/>
        <w:ind w:firstLine="284"/>
        <w:jc w:val="both"/>
        <w:rPr>
          <w:rFonts w:ascii="Garamond" w:hAnsi="Garamond"/>
          <w:sz w:val="24"/>
          <w:szCs w:val="24"/>
          <w:lang w:val="sq-AL"/>
        </w:rPr>
      </w:pPr>
      <w:r w:rsidRPr="00582729">
        <w:rPr>
          <w:rFonts w:ascii="Garamond" w:hAnsi="Garamond"/>
          <w:sz w:val="24"/>
          <w:szCs w:val="24"/>
          <w:lang w:val="sq-AL"/>
        </w:rPr>
        <w:t>b)</w:t>
      </w:r>
      <w:r w:rsidR="00194B66" w:rsidRPr="00582729">
        <w:rPr>
          <w:rFonts w:ascii="Garamond" w:hAnsi="Garamond"/>
          <w:sz w:val="24"/>
          <w:szCs w:val="24"/>
          <w:lang w:val="sq-AL"/>
        </w:rPr>
        <w:t xml:space="preserve"> </w:t>
      </w:r>
      <w:r w:rsidRPr="00582729">
        <w:rPr>
          <w:rFonts w:ascii="Garamond" w:hAnsi="Garamond"/>
          <w:sz w:val="24"/>
          <w:szCs w:val="24"/>
          <w:lang w:val="sq-AL"/>
        </w:rPr>
        <w:t>se nga përfundimi i periudhës tremujore</w:t>
      </w:r>
      <w:r w:rsidR="00582729">
        <w:rPr>
          <w:rFonts w:ascii="Garamond" w:hAnsi="Garamond"/>
          <w:sz w:val="24"/>
          <w:szCs w:val="24"/>
          <w:lang w:val="sq-AL"/>
        </w:rPr>
        <w:t>,</w:t>
      </w:r>
      <w:r w:rsidRPr="00582729">
        <w:rPr>
          <w:rFonts w:ascii="Garamond" w:hAnsi="Garamond"/>
          <w:sz w:val="24"/>
          <w:szCs w:val="24"/>
          <w:lang w:val="sq-AL"/>
        </w:rPr>
        <w:t xml:space="preserve"> përmendur më sipër</w:t>
      </w:r>
      <w:r w:rsidR="00582729">
        <w:rPr>
          <w:rFonts w:ascii="Garamond" w:hAnsi="Garamond"/>
          <w:sz w:val="24"/>
          <w:szCs w:val="24"/>
          <w:lang w:val="sq-AL"/>
        </w:rPr>
        <w:t>,</w:t>
      </w:r>
      <w:r w:rsidRPr="00582729">
        <w:rPr>
          <w:rFonts w:ascii="Garamond" w:hAnsi="Garamond"/>
          <w:sz w:val="24"/>
          <w:szCs w:val="24"/>
          <w:lang w:val="sq-AL"/>
        </w:rPr>
        <w:t xml:space="preserve"> deri në shlyerje për shumat e mësipërme duhet të paguhet interes i thjeshtë në normën e barasvlershme me normën margjinale të huadhënies të Bankës Qendrore Evropiane gjatë periudhës së mospagesës plus tre pikë përqindje.</w:t>
      </w:r>
    </w:p>
    <w:p w14:paraId="4C8BD369" w14:textId="45EA5008" w:rsidR="00B82D54" w:rsidRPr="00582729" w:rsidRDefault="00B82D54" w:rsidP="00B82D54">
      <w:pPr>
        <w:pStyle w:val="ECHRPara"/>
        <w:rPr>
          <w:rFonts w:ascii="Garamond" w:hAnsi="Garamond"/>
          <w:bCs/>
          <w:szCs w:val="24"/>
          <w:lang w:val="sq-AL"/>
        </w:rPr>
      </w:pPr>
      <w:r w:rsidRPr="00582729">
        <w:rPr>
          <w:rFonts w:ascii="Garamond" w:hAnsi="Garamond"/>
          <w:bCs/>
          <w:szCs w:val="24"/>
          <w:lang w:val="sq-AL"/>
        </w:rPr>
        <w:t xml:space="preserve">Hartuar në gjuhën angleze dhe njoftuar me shkrim më datë 20 </w:t>
      </w:r>
      <w:r w:rsidR="00582729">
        <w:rPr>
          <w:rFonts w:ascii="Garamond" w:hAnsi="Garamond"/>
          <w:bCs/>
          <w:szCs w:val="24"/>
          <w:lang w:val="sq-AL"/>
        </w:rPr>
        <w:t>k</w:t>
      </w:r>
      <w:r w:rsidRPr="00582729">
        <w:rPr>
          <w:rFonts w:ascii="Garamond" w:hAnsi="Garamond"/>
          <w:bCs/>
          <w:szCs w:val="24"/>
          <w:lang w:val="sq-AL"/>
        </w:rPr>
        <w:t xml:space="preserve">orrik 2023, sipas </w:t>
      </w:r>
      <w:r w:rsidR="00582729">
        <w:rPr>
          <w:rFonts w:ascii="Garamond" w:hAnsi="Garamond"/>
          <w:bCs/>
          <w:szCs w:val="24"/>
          <w:lang w:val="sq-AL"/>
        </w:rPr>
        <w:t>r</w:t>
      </w:r>
      <w:r w:rsidRPr="00582729">
        <w:rPr>
          <w:rFonts w:ascii="Garamond" w:hAnsi="Garamond"/>
          <w:bCs/>
          <w:szCs w:val="24"/>
          <w:lang w:val="sq-AL"/>
        </w:rPr>
        <w:t>regullit 77 §§2 dhe 3 të Rregullores së Gjykatës.</w:t>
      </w:r>
    </w:p>
    <w:tbl>
      <w:tblPr>
        <w:tblStyle w:val="TableGrid"/>
        <w:tblpPr w:leftFromText="180" w:rightFromText="180" w:vertAnchor="text" w:horzAnchor="margin" w:tblpY="136"/>
        <w:tblW w:w="97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5"/>
        <w:gridCol w:w="3849"/>
      </w:tblGrid>
      <w:tr w:rsidR="00582729" w:rsidRPr="00582729" w14:paraId="644745FA" w14:textId="77777777" w:rsidTr="00582729">
        <w:trPr>
          <w:trHeight w:val="240"/>
        </w:trPr>
        <w:tc>
          <w:tcPr>
            <w:tcW w:w="5895" w:type="dxa"/>
          </w:tcPr>
          <w:p w14:paraId="7D6420EB" w14:textId="77777777" w:rsidR="00582729" w:rsidRPr="00582729" w:rsidRDefault="00582729" w:rsidP="00582729">
            <w:pPr>
              <w:pStyle w:val="ECHRPara"/>
              <w:ind w:firstLine="0"/>
              <w:rPr>
                <w:rFonts w:ascii="Garamond" w:hAnsi="Garamond"/>
                <w:b/>
                <w:bCs/>
                <w:szCs w:val="24"/>
                <w:lang w:val="sq-AL"/>
              </w:rPr>
            </w:pPr>
            <w:r w:rsidRPr="00582729">
              <w:rPr>
                <w:rFonts w:ascii="Garamond" w:hAnsi="Garamond"/>
                <w:b/>
                <w:bCs/>
                <w:szCs w:val="24"/>
                <w:lang w:val="sq-AL"/>
              </w:rPr>
              <w:t>Viktoriya Maradudina</w:t>
            </w:r>
          </w:p>
        </w:tc>
        <w:tc>
          <w:tcPr>
            <w:tcW w:w="3849" w:type="dxa"/>
          </w:tcPr>
          <w:p w14:paraId="054FDFBF" w14:textId="77777777" w:rsidR="00582729" w:rsidRPr="00582729" w:rsidRDefault="00582729" w:rsidP="00582729">
            <w:pPr>
              <w:pStyle w:val="ECHRPara"/>
              <w:ind w:firstLine="0"/>
              <w:rPr>
                <w:rFonts w:ascii="Garamond" w:hAnsi="Garamond"/>
                <w:b/>
                <w:bCs/>
                <w:szCs w:val="24"/>
                <w:lang w:val="sq-AL"/>
              </w:rPr>
            </w:pPr>
            <w:r w:rsidRPr="00582729">
              <w:rPr>
                <w:rFonts w:ascii="Garamond" w:hAnsi="Garamond"/>
                <w:b/>
                <w:bCs/>
                <w:szCs w:val="24"/>
                <w:lang w:val="sq-AL"/>
              </w:rPr>
              <w:t>Ioannis Ktistakis</w:t>
            </w:r>
          </w:p>
        </w:tc>
      </w:tr>
      <w:tr w:rsidR="00582729" w:rsidRPr="00582729" w14:paraId="170AF8E6" w14:textId="77777777" w:rsidTr="00582729">
        <w:trPr>
          <w:trHeight w:val="471"/>
        </w:trPr>
        <w:tc>
          <w:tcPr>
            <w:tcW w:w="5895" w:type="dxa"/>
          </w:tcPr>
          <w:p w14:paraId="4ACE6F93" w14:textId="5DF2FD66" w:rsidR="00582729" w:rsidRPr="00582729" w:rsidRDefault="00582729" w:rsidP="00582729">
            <w:pPr>
              <w:pStyle w:val="ECHRPara"/>
              <w:ind w:firstLine="0"/>
              <w:rPr>
                <w:rFonts w:ascii="Garamond" w:hAnsi="Garamond"/>
                <w:bCs/>
                <w:szCs w:val="24"/>
                <w:lang w:val="sq-AL"/>
              </w:rPr>
            </w:pPr>
            <w:r w:rsidRPr="00582729">
              <w:rPr>
                <w:rFonts w:ascii="Garamond" w:hAnsi="Garamond"/>
                <w:bCs/>
                <w:szCs w:val="24"/>
                <w:lang w:val="sq-AL"/>
              </w:rPr>
              <w:t>ZËVENDËSSEKRETARE E PËRKOHSHME</w:t>
            </w:r>
          </w:p>
        </w:tc>
        <w:tc>
          <w:tcPr>
            <w:tcW w:w="3849" w:type="dxa"/>
          </w:tcPr>
          <w:p w14:paraId="6C9B25ED" w14:textId="77777777" w:rsidR="00582729" w:rsidRPr="00582729" w:rsidRDefault="00582729" w:rsidP="00582729">
            <w:pPr>
              <w:pStyle w:val="ECHRPara"/>
              <w:ind w:firstLine="0"/>
              <w:rPr>
                <w:rFonts w:ascii="Garamond" w:hAnsi="Garamond"/>
                <w:bCs/>
                <w:szCs w:val="24"/>
                <w:lang w:val="sq-AL"/>
              </w:rPr>
            </w:pPr>
            <w:r w:rsidRPr="00582729">
              <w:rPr>
                <w:rFonts w:ascii="Garamond" w:hAnsi="Garamond"/>
                <w:bCs/>
                <w:szCs w:val="24"/>
                <w:lang w:val="sq-AL"/>
              </w:rPr>
              <w:t>KRYETAR</w:t>
            </w:r>
          </w:p>
        </w:tc>
      </w:tr>
    </w:tbl>
    <w:p w14:paraId="2B3A321F" w14:textId="77777777" w:rsidR="00B82D54" w:rsidRPr="00582729" w:rsidRDefault="00B82D54" w:rsidP="00B82D54">
      <w:pPr>
        <w:pStyle w:val="ECHRPara"/>
        <w:rPr>
          <w:rFonts w:ascii="Garamond" w:hAnsi="Garamond"/>
          <w:bCs/>
          <w:szCs w:val="24"/>
          <w:lang w:val="sq-AL"/>
        </w:rPr>
      </w:pPr>
    </w:p>
    <w:bookmarkEnd w:id="0"/>
    <w:p w14:paraId="17D488F5" w14:textId="77777777" w:rsidR="00194B66" w:rsidRPr="00582729" w:rsidRDefault="00194B66" w:rsidP="00B82D54">
      <w:pPr>
        <w:spacing w:after="0" w:line="240" w:lineRule="auto"/>
        <w:ind w:firstLine="284"/>
        <w:jc w:val="center"/>
        <w:rPr>
          <w:rFonts w:ascii="Garamond" w:hAnsi="Garamond"/>
          <w:b/>
          <w:bCs/>
          <w:sz w:val="24"/>
          <w:szCs w:val="24"/>
        </w:rPr>
      </w:pPr>
    </w:p>
    <w:p w14:paraId="3732B9F4" w14:textId="77777777" w:rsidR="00582729" w:rsidRDefault="00582729" w:rsidP="00B82D54">
      <w:pPr>
        <w:spacing w:after="0" w:line="240" w:lineRule="auto"/>
        <w:ind w:firstLine="284"/>
        <w:jc w:val="center"/>
        <w:rPr>
          <w:rFonts w:ascii="Garamond" w:hAnsi="Garamond"/>
          <w:b/>
          <w:bCs/>
          <w:sz w:val="24"/>
          <w:szCs w:val="24"/>
        </w:rPr>
      </w:pPr>
    </w:p>
    <w:p w14:paraId="228D3F7A" w14:textId="77777777" w:rsidR="00582729" w:rsidRDefault="00582729" w:rsidP="00B82D54">
      <w:pPr>
        <w:spacing w:after="0" w:line="240" w:lineRule="auto"/>
        <w:ind w:firstLine="284"/>
        <w:jc w:val="center"/>
        <w:rPr>
          <w:rFonts w:ascii="Garamond" w:hAnsi="Garamond"/>
          <w:b/>
          <w:bCs/>
          <w:sz w:val="24"/>
          <w:szCs w:val="24"/>
        </w:rPr>
      </w:pPr>
    </w:p>
    <w:p w14:paraId="2C1D964D" w14:textId="3014A1BB" w:rsidR="00B82D54" w:rsidRPr="00582729" w:rsidRDefault="00B82D54" w:rsidP="00B82D54">
      <w:pPr>
        <w:spacing w:after="0" w:line="240" w:lineRule="auto"/>
        <w:ind w:firstLine="284"/>
        <w:jc w:val="center"/>
        <w:rPr>
          <w:rFonts w:ascii="Garamond" w:hAnsi="Garamond"/>
          <w:bCs/>
          <w:sz w:val="24"/>
          <w:szCs w:val="24"/>
        </w:rPr>
      </w:pPr>
      <w:r w:rsidRPr="00582729">
        <w:rPr>
          <w:rFonts w:ascii="Garamond" w:hAnsi="Garamond"/>
          <w:bCs/>
          <w:sz w:val="24"/>
          <w:szCs w:val="24"/>
        </w:rPr>
        <w:t>SHTOJCË</w:t>
      </w:r>
    </w:p>
    <w:p w14:paraId="733A8231" w14:textId="3A55CC10" w:rsidR="00B82D54" w:rsidRPr="00C914F9" w:rsidRDefault="00C914F9" w:rsidP="00C4787D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C914F9">
        <w:rPr>
          <w:rFonts w:ascii="Garamond" w:hAnsi="Garamond"/>
          <w:sz w:val="24"/>
          <w:szCs w:val="24"/>
        </w:rPr>
        <w:t>KËRKESË ME ANË TË SË CILËS PARAQITET ANKESA SIPAS NENIT 6 § 1 TË KONVENTËS (KOHËZGJATJE E TEPËRT E PROCESIT CIVIL)</w:t>
      </w:r>
    </w:p>
    <w:p w14:paraId="26A198F9" w14:textId="77777777" w:rsidR="00B82D54" w:rsidRPr="00582729" w:rsidRDefault="00B82D54" w:rsidP="00B82D54">
      <w:pPr>
        <w:spacing w:after="0" w:line="240" w:lineRule="auto"/>
        <w:ind w:firstLine="284"/>
        <w:jc w:val="center"/>
        <w:rPr>
          <w:rFonts w:ascii="Garamond" w:hAnsi="Garamond"/>
          <w:sz w:val="24"/>
          <w:szCs w:val="24"/>
        </w:rPr>
      </w:pPr>
    </w:p>
    <w:tbl>
      <w:tblPr>
        <w:tblStyle w:val="TableGrid"/>
        <w:tblW w:w="10705" w:type="dxa"/>
        <w:jc w:val="center"/>
        <w:tblLook w:val="04A0" w:firstRow="1" w:lastRow="0" w:firstColumn="1" w:lastColumn="0" w:noHBand="0" w:noVBand="1"/>
      </w:tblPr>
      <w:tblGrid>
        <w:gridCol w:w="1890"/>
        <w:gridCol w:w="1854"/>
        <w:gridCol w:w="2014"/>
        <w:gridCol w:w="1353"/>
        <w:gridCol w:w="1710"/>
        <w:gridCol w:w="1884"/>
      </w:tblGrid>
      <w:tr w:rsidR="00B82D54" w:rsidRPr="00582729" w14:paraId="32D335F9" w14:textId="77777777" w:rsidTr="00B82D54">
        <w:trPr>
          <w:jc w:val="center"/>
        </w:trPr>
        <w:tc>
          <w:tcPr>
            <w:tcW w:w="1890" w:type="dxa"/>
            <w:vAlign w:val="center"/>
          </w:tcPr>
          <w:p w14:paraId="20765603" w14:textId="77777777" w:rsidR="00B82D54" w:rsidRPr="00582729" w:rsidRDefault="00B82D54" w:rsidP="00B82D54">
            <w:pPr>
              <w:pStyle w:val="NoSpacing"/>
              <w:jc w:val="center"/>
              <w:rPr>
                <w:rFonts w:ascii="Garamond" w:hAnsi="Garamond"/>
                <w:b/>
                <w:bCs/>
                <w:szCs w:val="24"/>
                <w:lang w:val="sq-AL"/>
              </w:rPr>
            </w:pPr>
            <w:r w:rsidRPr="00582729">
              <w:rPr>
                <w:rFonts w:ascii="Garamond" w:hAnsi="Garamond"/>
                <w:b/>
                <w:bCs/>
                <w:szCs w:val="24"/>
                <w:lang w:val="sq-AL"/>
              </w:rPr>
              <w:t>Kërkesa nr.</w:t>
            </w:r>
          </w:p>
          <w:p w14:paraId="76CE647D" w14:textId="77777777" w:rsidR="00B82D54" w:rsidRPr="00582729" w:rsidRDefault="00B82D54" w:rsidP="00B82D54">
            <w:pPr>
              <w:pStyle w:val="NoSpacing"/>
              <w:jc w:val="center"/>
              <w:rPr>
                <w:rFonts w:ascii="Garamond" w:hAnsi="Garamond"/>
                <w:b/>
                <w:bCs/>
                <w:szCs w:val="24"/>
                <w:lang w:val="sq-AL"/>
              </w:rPr>
            </w:pPr>
            <w:r w:rsidRPr="00582729">
              <w:rPr>
                <w:rFonts w:ascii="Garamond" w:hAnsi="Garamond"/>
                <w:b/>
                <w:bCs/>
                <w:szCs w:val="24"/>
                <w:lang w:val="sq-AL"/>
              </w:rPr>
              <w:t>Data e paraqitjes</w:t>
            </w:r>
          </w:p>
        </w:tc>
        <w:tc>
          <w:tcPr>
            <w:tcW w:w="1854" w:type="dxa"/>
            <w:vAlign w:val="center"/>
          </w:tcPr>
          <w:p w14:paraId="66F2007A" w14:textId="77777777" w:rsidR="00B82D54" w:rsidRPr="00582729" w:rsidRDefault="00B82D54" w:rsidP="00B82D54">
            <w:pPr>
              <w:pStyle w:val="NoSpacing"/>
              <w:jc w:val="center"/>
              <w:rPr>
                <w:rFonts w:ascii="Garamond" w:hAnsi="Garamond"/>
                <w:b/>
                <w:bCs/>
                <w:szCs w:val="24"/>
                <w:lang w:val="sq-AL"/>
              </w:rPr>
            </w:pPr>
            <w:r w:rsidRPr="00582729">
              <w:rPr>
                <w:rFonts w:ascii="Garamond" w:hAnsi="Garamond"/>
                <w:b/>
                <w:bCs/>
                <w:szCs w:val="24"/>
                <w:lang w:val="sq-AL"/>
              </w:rPr>
              <w:t>Emri i kërkuesit</w:t>
            </w:r>
          </w:p>
          <w:p w14:paraId="6D0925E7" w14:textId="77777777" w:rsidR="00B82D54" w:rsidRPr="00582729" w:rsidRDefault="00B82D54" w:rsidP="00B82D54">
            <w:pPr>
              <w:pStyle w:val="NoSpacing"/>
              <w:jc w:val="center"/>
              <w:rPr>
                <w:rFonts w:ascii="Garamond" w:hAnsi="Garamond"/>
                <w:b/>
                <w:bCs/>
                <w:szCs w:val="24"/>
                <w:lang w:val="sq-AL"/>
              </w:rPr>
            </w:pPr>
            <w:r w:rsidRPr="00582729">
              <w:rPr>
                <w:rFonts w:ascii="Garamond" w:hAnsi="Garamond"/>
                <w:b/>
                <w:bCs/>
                <w:szCs w:val="24"/>
                <w:lang w:val="sq-AL"/>
              </w:rPr>
              <w:t>Viti i lindjes</w:t>
            </w:r>
          </w:p>
        </w:tc>
        <w:tc>
          <w:tcPr>
            <w:tcW w:w="2014" w:type="dxa"/>
            <w:vAlign w:val="center"/>
          </w:tcPr>
          <w:p w14:paraId="13000A1A" w14:textId="77726CEB" w:rsidR="00B82D54" w:rsidRPr="00582729" w:rsidRDefault="00B82D54" w:rsidP="00B82D54">
            <w:pPr>
              <w:pStyle w:val="NoSpacing"/>
              <w:jc w:val="center"/>
              <w:rPr>
                <w:rFonts w:ascii="Garamond" w:hAnsi="Garamond"/>
                <w:b/>
                <w:bCs/>
                <w:szCs w:val="24"/>
                <w:lang w:val="sq-AL"/>
              </w:rPr>
            </w:pPr>
            <w:r w:rsidRPr="00582729">
              <w:rPr>
                <w:rFonts w:ascii="Garamond" w:hAnsi="Garamond"/>
                <w:b/>
                <w:bCs/>
                <w:szCs w:val="24"/>
                <w:lang w:val="sq-AL"/>
              </w:rPr>
              <w:t xml:space="preserve">Nisja e procesit ose data e hyrjes në fuqi </w:t>
            </w:r>
            <w:r w:rsidR="00C4787D">
              <w:rPr>
                <w:rFonts w:ascii="Garamond" w:hAnsi="Garamond"/>
                <w:b/>
                <w:bCs/>
                <w:szCs w:val="24"/>
                <w:lang w:val="sq-AL"/>
              </w:rPr>
              <w:t>të</w:t>
            </w:r>
            <w:r w:rsidRPr="00582729">
              <w:rPr>
                <w:rFonts w:ascii="Garamond" w:hAnsi="Garamond"/>
                <w:b/>
                <w:bCs/>
                <w:szCs w:val="24"/>
                <w:lang w:val="sq-AL"/>
              </w:rPr>
              <w:t xml:space="preserve"> Konventës për Shqipërinë (2 </w:t>
            </w:r>
            <w:r w:rsidR="00C4787D">
              <w:rPr>
                <w:rFonts w:ascii="Garamond" w:hAnsi="Garamond"/>
                <w:b/>
                <w:bCs/>
                <w:szCs w:val="24"/>
                <w:lang w:val="sq-AL"/>
              </w:rPr>
              <w:t>t</w:t>
            </w:r>
            <w:r w:rsidRPr="00582729">
              <w:rPr>
                <w:rFonts w:ascii="Garamond" w:hAnsi="Garamond"/>
                <w:b/>
                <w:bCs/>
                <w:szCs w:val="24"/>
                <w:lang w:val="sq-AL"/>
              </w:rPr>
              <w:t>etor 1996)</w:t>
            </w:r>
          </w:p>
        </w:tc>
        <w:tc>
          <w:tcPr>
            <w:tcW w:w="1353" w:type="dxa"/>
            <w:vAlign w:val="center"/>
          </w:tcPr>
          <w:p w14:paraId="0390529A" w14:textId="77777777" w:rsidR="00B82D54" w:rsidRPr="00582729" w:rsidRDefault="00B82D54" w:rsidP="00B82D54">
            <w:pPr>
              <w:pStyle w:val="NoSpacing"/>
              <w:jc w:val="center"/>
              <w:rPr>
                <w:rFonts w:ascii="Garamond" w:hAnsi="Garamond"/>
                <w:b/>
                <w:bCs/>
                <w:szCs w:val="24"/>
                <w:lang w:val="sq-AL"/>
              </w:rPr>
            </w:pPr>
            <w:r w:rsidRPr="00582729">
              <w:rPr>
                <w:rFonts w:ascii="Garamond" w:hAnsi="Garamond"/>
                <w:b/>
                <w:bCs/>
                <w:szCs w:val="24"/>
                <w:lang w:val="sq-AL"/>
              </w:rPr>
              <w:t>Përfundimi i procesit</w:t>
            </w:r>
          </w:p>
        </w:tc>
        <w:tc>
          <w:tcPr>
            <w:tcW w:w="1710" w:type="dxa"/>
            <w:vAlign w:val="center"/>
          </w:tcPr>
          <w:p w14:paraId="52BD988A" w14:textId="77777777" w:rsidR="00B82D54" w:rsidRPr="00582729" w:rsidRDefault="00B82D54" w:rsidP="00B82D54">
            <w:pPr>
              <w:pStyle w:val="NoSpacing"/>
              <w:jc w:val="center"/>
              <w:rPr>
                <w:rFonts w:ascii="Garamond" w:hAnsi="Garamond"/>
                <w:b/>
                <w:bCs/>
                <w:szCs w:val="24"/>
                <w:lang w:val="sq-AL"/>
              </w:rPr>
            </w:pPr>
            <w:r w:rsidRPr="00582729">
              <w:rPr>
                <w:rFonts w:ascii="Garamond" w:hAnsi="Garamond"/>
                <w:b/>
                <w:bCs/>
                <w:szCs w:val="24"/>
                <w:lang w:val="sq-AL"/>
              </w:rPr>
              <w:t>Kohëzgjatja në total</w:t>
            </w:r>
          </w:p>
          <w:p w14:paraId="4E91C19F" w14:textId="77777777" w:rsidR="00B82D54" w:rsidRPr="00582729" w:rsidRDefault="00B82D54" w:rsidP="00B82D54">
            <w:pPr>
              <w:pStyle w:val="NoSpacing"/>
              <w:jc w:val="center"/>
              <w:rPr>
                <w:rFonts w:ascii="Garamond" w:hAnsi="Garamond"/>
                <w:b/>
                <w:bCs/>
                <w:szCs w:val="24"/>
                <w:lang w:val="sq-AL"/>
              </w:rPr>
            </w:pPr>
            <w:r w:rsidRPr="00582729">
              <w:rPr>
                <w:rFonts w:ascii="Garamond" w:hAnsi="Garamond"/>
                <w:b/>
                <w:bCs/>
                <w:szCs w:val="24"/>
                <w:lang w:val="sq-AL"/>
              </w:rPr>
              <w:t>Nivelet e juridiksionit</w:t>
            </w:r>
          </w:p>
        </w:tc>
        <w:tc>
          <w:tcPr>
            <w:tcW w:w="1884" w:type="dxa"/>
            <w:vAlign w:val="center"/>
          </w:tcPr>
          <w:p w14:paraId="48BDC249" w14:textId="420BE332" w:rsidR="00B82D54" w:rsidRPr="00582729" w:rsidRDefault="00B82D54" w:rsidP="00B82D54">
            <w:pPr>
              <w:pStyle w:val="NoSpacing"/>
              <w:jc w:val="center"/>
              <w:rPr>
                <w:rFonts w:ascii="Garamond" w:hAnsi="Garamond"/>
                <w:b/>
                <w:bCs/>
                <w:szCs w:val="24"/>
                <w:lang w:val="sq-AL"/>
              </w:rPr>
            </w:pPr>
            <w:r w:rsidRPr="00582729">
              <w:rPr>
                <w:rFonts w:ascii="Garamond" w:hAnsi="Garamond"/>
                <w:b/>
                <w:bCs/>
                <w:szCs w:val="24"/>
                <w:lang w:val="sq-AL"/>
              </w:rPr>
              <w:t xml:space="preserve">Shuma </w:t>
            </w:r>
            <w:r w:rsidR="00C4787D">
              <w:rPr>
                <w:rFonts w:ascii="Garamond" w:hAnsi="Garamond"/>
                <w:b/>
                <w:bCs/>
                <w:szCs w:val="24"/>
                <w:lang w:val="sq-AL"/>
              </w:rPr>
              <w:t xml:space="preserve">e </w:t>
            </w:r>
            <w:r w:rsidRPr="00582729">
              <w:rPr>
                <w:rFonts w:ascii="Garamond" w:hAnsi="Garamond"/>
                <w:b/>
                <w:bCs/>
                <w:szCs w:val="24"/>
                <w:lang w:val="sq-AL"/>
              </w:rPr>
              <w:t>akorduar për dëmin jopasuror për kërkues (në euro)</w:t>
            </w:r>
            <w:r w:rsidRPr="00582729">
              <w:rPr>
                <w:rStyle w:val="FootnoteReference"/>
                <w:rFonts w:ascii="Garamond" w:hAnsi="Garamond"/>
                <w:b/>
                <w:bCs/>
                <w:szCs w:val="24"/>
                <w:lang w:val="sq-AL"/>
              </w:rPr>
              <w:footnoteReference w:id="2"/>
            </w:r>
          </w:p>
        </w:tc>
      </w:tr>
      <w:tr w:rsidR="00B82D54" w:rsidRPr="00582729" w14:paraId="6F373A88" w14:textId="77777777" w:rsidTr="00B82D54">
        <w:trPr>
          <w:jc w:val="center"/>
        </w:trPr>
        <w:tc>
          <w:tcPr>
            <w:tcW w:w="1890" w:type="dxa"/>
            <w:vAlign w:val="center"/>
          </w:tcPr>
          <w:p w14:paraId="6BCA67EC" w14:textId="77777777" w:rsidR="00B82D54" w:rsidRPr="00582729" w:rsidRDefault="00B82D54" w:rsidP="00B82D54">
            <w:pPr>
              <w:pStyle w:val="NoSpacing"/>
              <w:jc w:val="center"/>
              <w:rPr>
                <w:rFonts w:ascii="Garamond" w:hAnsi="Garamond"/>
                <w:szCs w:val="24"/>
                <w:lang w:val="sq-AL"/>
              </w:rPr>
            </w:pPr>
            <w:r w:rsidRPr="00582729">
              <w:rPr>
                <w:rFonts w:ascii="Garamond" w:hAnsi="Garamond"/>
                <w:szCs w:val="24"/>
                <w:lang w:val="sq-AL"/>
              </w:rPr>
              <w:t>11254/11</w:t>
            </w:r>
          </w:p>
          <w:p w14:paraId="4F01BA1A" w14:textId="0BD07F54" w:rsidR="00B82D54" w:rsidRPr="00582729" w:rsidRDefault="00B82D54" w:rsidP="00B82D54">
            <w:pPr>
              <w:pStyle w:val="NoSpacing"/>
              <w:jc w:val="center"/>
              <w:rPr>
                <w:rFonts w:ascii="Garamond" w:hAnsi="Garamond"/>
                <w:szCs w:val="24"/>
                <w:lang w:val="sq-AL"/>
              </w:rPr>
            </w:pPr>
            <w:r w:rsidRPr="00582729">
              <w:rPr>
                <w:rFonts w:ascii="Garamond" w:hAnsi="Garamond"/>
                <w:szCs w:val="24"/>
                <w:lang w:val="sq-AL"/>
              </w:rPr>
              <w:t>15</w:t>
            </w:r>
            <w:r w:rsidR="00C4787D">
              <w:rPr>
                <w:rFonts w:ascii="Garamond" w:hAnsi="Garamond"/>
                <w:szCs w:val="24"/>
                <w:lang w:val="sq-AL"/>
              </w:rPr>
              <w:t>.</w:t>
            </w:r>
            <w:r w:rsidRPr="00582729">
              <w:rPr>
                <w:rFonts w:ascii="Garamond" w:hAnsi="Garamond"/>
                <w:szCs w:val="24"/>
                <w:lang w:val="sq-AL"/>
              </w:rPr>
              <w:t>1</w:t>
            </w:r>
            <w:r w:rsidR="00C4787D">
              <w:rPr>
                <w:rFonts w:ascii="Garamond" w:hAnsi="Garamond"/>
                <w:szCs w:val="24"/>
                <w:lang w:val="sq-AL"/>
              </w:rPr>
              <w:t>.</w:t>
            </w:r>
            <w:r w:rsidRPr="00582729">
              <w:rPr>
                <w:rFonts w:ascii="Garamond" w:hAnsi="Garamond"/>
                <w:szCs w:val="24"/>
                <w:lang w:val="sq-AL"/>
              </w:rPr>
              <w:t>2011</w:t>
            </w:r>
          </w:p>
        </w:tc>
        <w:tc>
          <w:tcPr>
            <w:tcW w:w="1854" w:type="dxa"/>
            <w:vAlign w:val="center"/>
          </w:tcPr>
          <w:p w14:paraId="104D4A8B" w14:textId="77777777" w:rsidR="00B82D54" w:rsidRPr="00582729" w:rsidRDefault="00B82D54" w:rsidP="00B82D54">
            <w:pPr>
              <w:pStyle w:val="NoSpacing"/>
              <w:jc w:val="center"/>
              <w:rPr>
                <w:rFonts w:ascii="Garamond" w:hAnsi="Garamond"/>
                <w:b/>
                <w:bCs/>
                <w:szCs w:val="24"/>
                <w:lang w:val="sq-AL"/>
              </w:rPr>
            </w:pPr>
            <w:r w:rsidRPr="00582729">
              <w:rPr>
                <w:rFonts w:ascii="Garamond" w:hAnsi="Garamond"/>
                <w:b/>
                <w:bCs/>
                <w:szCs w:val="24"/>
                <w:lang w:val="sq-AL"/>
              </w:rPr>
              <w:t>Frederik HAMITAJ</w:t>
            </w:r>
          </w:p>
          <w:p w14:paraId="00317AD6" w14:textId="77777777" w:rsidR="00B82D54" w:rsidRPr="00582729" w:rsidRDefault="00B82D54" w:rsidP="00B82D54">
            <w:pPr>
              <w:pStyle w:val="NoSpacing"/>
              <w:jc w:val="center"/>
              <w:rPr>
                <w:rFonts w:ascii="Garamond" w:hAnsi="Garamond"/>
                <w:szCs w:val="24"/>
                <w:lang w:val="sq-AL"/>
              </w:rPr>
            </w:pPr>
            <w:r w:rsidRPr="00582729">
              <w:rPr>
                <w:rFonts w:ascii="Garamond" w:hAnsi="Garamond"/>
                <w:szCs w:val="24"/>
                <w:lang w:val="sq-AL"/>
              </w:rPr>
              <w:t>1949</w:t>
            </w:r>
          </w:p>
        </w:tc>
        <w:tc>
          <w:tcPr>
            <w:tcW w:w="2014" w:type="dxa"/>
            <w:vAlign w:val="center"/>
          </w:tcPr>
          <w:p w14:paraId="05420A09" w14:textId="252AF021" w:rsidR="00B82D54" w:rsidRPr="00582729" w:rsidRDefault="00B82D54" w:rsidP="00B82D54">
            <w:pPr>
              <w:pStyle w:val="NoSpacing"/>
              <w:jc w:val="center"/>
              <w:rPr>
                <w:rFonts w:ascii="Garamond" w:hAnsi="Garamond"/>
                <w:szCs w:val="24"/>
                <w:lang w:val="sq-AL"/>
              </w:rPr>
            </w:pPr>
            <w:r w:rsidRPr="00582729">
              <w:rPr>
                <w:rFonts w:ascii="Garamond" w:hAnsi="Garamond"/>
                <w:szCs w:val="24"/>
                <w:lang w:val="sq-AL"/>
              </w:rPr>
              <w:t>8</w:t>
            </w:r>
            <w:r w:rsidR="00C4787D">
              <w:rPr>
                <w:rFonts w:ascii="Garamond" w:hAnsi="Garamond"/>
                <w:szCs w:val="24"/>
                <w:lang w:val="sq-AL"/>
              </w:rPr>
              <w:t>.</w:t>
            </w:r>
            <w:r w:rsidRPr="00582729">
              <w:rPr>
                <w:rFonts w:ascii="Garamond" w:hAnsi="Garamond"/>
                <w:szCs w:val="24"/>
                <w:lang w:val="sq-AL"/>
              </w:rPr>
              <w:t>2</w:t>
            </w:r>
            <w:r w:rsidR="00C4787D">
              <w:rPr>
                <w:rFonts w:ascii="Garamond" w:hAnsi="Garamond"/>
                <w:szCs w:val="24"/>
                <w:lang w:val="sq-AL"/>
              </w:rPr>
              <w:t>.</w:t>
            </w:r>
            <w:r w:rsidRPr="00582729">
              <w:rPr>
                <w:rFonts w:ascii="Garamond" w:hAnsi="Garamond"/>
                <w:szCs w:val="24"/>
                <w:lang w:val="sq-AL"/>
              </w:rPr>
              <w:t>2006</w:t>
            </w:r>
          </w:p>
        </w:tc>
        <w:tc>
          <w:tcPr>
            <w:tcW w:w="1353" w:type="dxa"/>
            <w:vAlign w:val="center"/>
          </w:tcPr>
          <w:p w14:paraId="5187A7C7" w14:textId="5701983B" w:rsidR="00B82D54" w:rsidRPr="00582729" w:rsidRDefault="00B82D54" w:rsidP="00B82D54">
            <w:pPr>
              <w:pStyle w:val="NoSpacing"/>
              <w:jc w:val="center"/>
              <w:rPr>
                <w:rFonts w:ascii="Garamond" w:hAnsi="Garamond"/>
                <w:szCs w:val="24"/>
                <w:lang w:val="sq-AL"/>
              </w:rPr>
            </w:pPr>
            <w:r w:rsidRPr="00582729">
              <w:rPr>
                <w:rFonts w:ascii="Garamond" w:hAnsi="Garamond"/>
                <w:szCs w:val="24"/>
                <w:lang w:val="sq-AL"/>
              </w:rPr>
              <w:t>14</w:t>
            </w:r>
            <w:r w:rsidR="00C4787D">
              <w:rPr>
                <w:rFonts w:ascii="Garamond" w:hAnsi="Garamond"/>
                <w:szCs w:val="24"/>
                <w:lang w:val="sq-AL"/>
              </w:rPr>
              <w:t>.</w:t>
            </w:r>
            <w:r w:rsidRPr="00582729">
              <w:rPr>
                <w:rFonts w:ascii="Garamond" w:hAnsi="Garamond"/>
                <w:szCs w:val="24"/>
                <w:lang w:val="sq-AL"/>
              </w:rPr>
              <w:t>5</w:t>
            </w:r>
            <w:r w:rsidR="00C4787D">
              <w:rPr>
                <w:rFonts w:ascii="Garamond" w:hAnsi="Garamond"/>
                <w:szCs w:val="24"/>
                <w:lang w:val="sq-AL"/>
              </w:rPr>
              <w:t>.</w:t>
            </w:r>
            <w:r w:rsidRPr="00582729">
              <w:rPr>
                <w:rFonts w:ascii="Garamond" w:hAnsi="Garamond"/>
                <w:szCs w:val="24"/>
                <w:lang w:val="sq-AL"/>
              </w:rPr>
              <w:t>2012</w:t>
            </w:r>
          </w:p>
        </w:tc>
        <w:tc>
          <w:tcPr>
            <w:tcW w:w="1710" w:type="dxa"/>
            <w:vAlign w:val="center"/>
          </w:tcPr>
          <w:p w14:paraId="5C3C6175" w14:textId="77777777" w:rsidR="00B82D54" w:rsidRPr="00582729" w:rsidRDefault="00B82D54" w:rsidP="00B82D54">
            <w:pPr>
              <w:pStyle w:val="NoSpacing"/>
              <w:jc w:val="center"/>
              <w:rPr>
                <w:rFonts w:ascii="Garamond" w:hAnsi="Garamond"/>
                <w:szCs w:val="24"/>
                <w:lang w:val="sq-AL"/>
              </w:rPr>
            </w:pPr>
            <w:r w:rsidRPr="00582729">
              <w:rPr>
                <w:rFonts w:ascii="Garamond" w:hAnsi="Garamond"/>
                <w:szCs w:val="24"/>
                <w:lang w:val="sq-AL"/>
              </w:rPr>
              <w:t>6 vite e tre muaj e 7 ditë</w:t>
            </w:r>
          </w:p>
          <w:p w14:paraId="1373A93D" w14:textId="77777777" w:rsidR="00B82D54" w:rsidRPr="00582729" w:rsidRDefault="00B82D54" w:rsidP="00B82D54">
            <w:pPr>
              <w:pStyle w:val="NoSpacing"/>
              <w:jc w:val="center"/>
              <w:rPr>
                <w:rFonts w:ascii="Garamond" w:hAnsi="Garamond"/>
                <w:szCs w:val="24"/>
                <w:lang w:val="sq-AL"/>
              </w:rPr>
            </w:pPr>
            <w:r w:rsidRPr="00582729">
              <w:rPr>
                <w:rFonts w:ascii="Garamond" w:hAnsi="Garamond"/>
                <w:szCs w:val="24"/>
                <w:lang w:val="sq-AL"/>
              </w:rPr>
              <w:t>3 nivele juridiksioni</w:t>
            </w:r>
          </w:p>
        </w:tc>
        <w:tc>
          <w:tcPr>
            <w:tcW w:w="1884" w:type="dxa"/>
            <w:vAlign w:val="center"/>
          </w:tcPr>
          <w:p w14:paraId="57303392" w14:textId="77777777" w:rsidR="00B82D54" w:rsidRPr="00582729" w:rsidRDefault="00B82D54" w:rsidP="00B82D54">
            <w:pPr>
              <w:pStyle w:val="NoSpacing"/>
              <w:jc w:val="center"/>
              <w:rPr>
                <w:rFonts w:ascii="Garamond" w:hAnsi="Garamond"/>
                <w:szCs w:val="24"/>
                <w:lang w:val="sq-AL"/>
              </w:rPr>
            </w:pPr>
            <w:r w:rsidRPr="00582729">
              <w:rPr>
                <w:rFonts w:ascii="Garamond" w:hAnsi="Garamond"/>
                <w:szCs w:val="24"/>
                <w:lang w:val="sq-AL"/>
              </w:rPr>
              <w:t>600</w:t>
            </w:r>
          </w:p>
        </w:tc>
      </w:tr>
    </w:tbl>
    <w:p w14:paraId="34CD7316" w14:textId="77777777" w:rsidR="00B82D54" w:rsidRPr="00582729" w:rsidRDefault="00B82D54" w:rsidP="00B82D54">
      <w:pPr>
        <w:spacing w:after="0" w:line="240" w:lineRule="auto"/>
        <w:ind w:firstLine="284"/>
        <w:rPr>
          <w:rFonts w:ascii="Garamond" w:hAnsi="Garamond"/>
          <w:sz w:val="24"/>
          <w:szCs w:val="24"/>
        </w:rPr>
      </w:pPr>
    </w:p>
    <w:p w14:paraId="48C4DA40" w14:textId="77777777" w:rsidR="00B56218" w:rsidRPr="00582729" w:rsidRDefault="00B56218" w:rsidP="00B82D54"/>
    <w:sectPr w:rsidR="00B56218" w:rsidRPr="0058272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2EED4C" w14:textId="77777777" w:rsidR="00F016C4" w:rsidRDefault="00F016C4" w:rsidP="00B82D54">
      <w:pPr>
        <w:spacing w:after="0" w:line="240" w:lineRule="auto"/>
      </w:pPr>
      <w:r>
        <w:separator/>
      </w:r>
    </w:p>
  </w:endnote>
  <w:endnote w:type="continuationSeparator" w:id="0">
    <w:p w14:paraId="33DC8AAD" w14:textId="77777777" w:rsidR="00F016C4" w:rsidRDefault="00F016C4" w:rsidP="00B82D54">
      <w:pPr>
        <w:spacing w:after="0" w:line="240" w:lineRule="auto"/>
      </w:pPr>
      <w:r>
        <w:continuationSeparator/>
      </w:r>
    </w:p>
  </w:endnote>
  <w:endnote w:type="continuationNotice" w:id="1">
    <w:p w14:paraId="35E5A510" w14:textId="77777777" w:rsidR="00F016C4" w:rsidRDefault="00F016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656EF" w14:textId="77777777" w:rsidR="00F016C4" w:rsidRDefault="00F016C4" w:rsidP="00B82D54">
    <w:pPr>
      <w:pStyle w:val="Footer"/>
    </w:pPr>
  </w:p>
  <w:p w14:paraId="65E1F9E5" w14:textId="77777777" w:rsidR="00F016C4" w:rsidRPr="00CC26CB" w:rsidRDefault="00F016C4" w:rsidP="00B82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276A2A" w14:textId="77777777" w:rsidR="00F016C4" w:rsidRDefault="00F016C4" w:rsidP="00B82D54">
      <w:pPr>
        <w:spacing w:after="0" w:line="240" w:lineRule="auto"/>
      </w:pPr>
      <w:r>
        <w:separator/>
      </w:r>
    </w:p>
  </w:footnote>
  <w:footnote w:type="continuationSeparator" w:id="0">
    <w:p w14:paraId="30B28113" w14:textId="77777777" w:rsidR="00F016C4" w:rsidRDefault="00F016C4" w:rsidP="00B82D54">
      <w:pPr>
        <w:spacing w:after="0" w:line="240" w:lineRule="auto"/>
      </w:pPr>
      <w:r>
        <w:continuationSeparator/>
      </w:r>
    </w:p>
  </w:footnote>
  <w:footnote w:type="continuationNotice" w:id="1">
    <w:p w14:paraId="062F1A69" w14:textId="77777777" w:rsidR="00F016C4" w:rsidRDefault="00F016C4">
      <w:pPr>
        <w:spacing w:after="0" w:line="240" w:lineRule="auto"/>
      </w:pPr>
    </w:p>
  </w:footnote>
  <w:footnote w:id="2">
    <w:p w14:paraId="100DA4DF" w14:textId="77777777" w:rsidR="00F016C4" w:rsidRPr="00C4787D" w:rsidRDefault="00F016C4" w:rsidP="00B82D54">
      <w:pPr>
        <w:pStyle w:val="FootnoteText"/>
        <w:rPr>
          <w:rFonts w:ascii="Garamond" w:hAnsi="Garamond"/>
        </w:rPr>
      </w:pPr>
      <w:r w:rsidRPr="00C4787D">
        <w:rPr>
          <w:rStyle w:val="FootnoteReference"/>
          <w:rFonts w:ascii="Garamond" w:hAnsi="Garamond"/>
        </w:rPr>
        <w:footnoteRef/>
      </w:r>
      <w:r w:rsidRPr="00C4787D">
        <w:rPr>
          <w:rFonts w:ascii="Garamond" w:hAnsi="Garamond"/>
        </w:rPr>
        <w:t xml:space="preserve"> Plus çdo taksë që mund t’i tarifohet kërkuesit.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AC6DD" w14:textId="77777777" w:rsidR="00F016C4" w:rsidRDefault="00F016C4">
    <w:pPr>
      <w:pStyle w:val="Header"/>
    </w:pPr>
  </w:p>
  <w:p w14:paraId="5F2C13E7" w14:textId="77777777" w:rsidR="00F016C4" w:rsidRDefault="00F016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C98"/>
    <w:rsid w:val="00012745"/>
    <w:rsid w:val="00014078"/>
    <w:rsid w:val="00031098"/>
    <w:rsid w:val="000427A6"/>
    <w:rsid w:val="000458EB"/>
    <w:rsid w:val="0006026E"/>
    <w:rsid w:val="00075D23"/>
    <w:rsid w:val="00090D05"/>
    <w:rsid w:val="0009171B"/>
    <w:rsid w:val="000956ED"/>
    <w:rsid w:val="000A39B7"/>
    <w:rsid w:val="000A77D9"/>
    <w:rsid w:val="000C3D4A"/>
    <w:rsid w:val="000C55A5"/>
    <w:rsid w:val="000D0E85"/>
    <w:rsid w:val="000D7F01"/>
    <w:rsid w:val="001149C8"/>
    <w:rsid w:val="00121461"/>
    <w:rsid w:val="0012538B"/>
    <w:rsid w:val="001268DB"/>
    <w:rsid w:val="00135329"/>
    <w:rsid w:val="0014112D"/>
    <w:rsid w:val="00141B18"/>
    <w:rsid w:val="00142C2B"/>
    <w:rsid w:val="00160647"/>
    <w:rsid w:val="00160E68"/>
    <w:rsid w:val="00167FB5"/>
    <w:rsid w:val="00175424"/>
    <w:rsid w:val="00183018"/>
    <w:rsid w:val="00190C3D"/>
    <w:rsid w:val="001944EB"/>
    <w:rsid w:val="00194B66"/>
    <w:rsid w:val="0019635C"/>
    <w:rsid w:val="001A2195"/>
    <w:rsid w:val="001C0519"/>
    <w:rsid w:val="001D2ABC"/>
    <w:rsid w:val="001D2F1F"/>
    <w:rsid w:val="001D3A2F"/>
    <w:rsid w:val="00204F93"/>
    <w:rsid w:val="00213728"/>
    <w:rsid w:val="00234715"/>
    <w:rsid w:val="00252C2A"/>
    <w:rsid w:val="00257E0A"/>
    <w:rsid w:val="00263D3A"/>
    <w:rsid w:val="002821F2"/>
    <w:rsid w:val="002929DC"/>
    <w:rsid w:val="002A23A7"/>
    <w:rsid w:val="002B1C09"/>
    <w:rsid w:val="002B7B82"/>
    <w:rsid w:val="002C3DC5"/>
    <w:rsid w:val="002C7879"/>
    <w:rsid w:val="002D71C7"/>
    <w:rsid w:val="002E2CDE"/>
    <w:rsid w:val="002F0DDD"/>
    <w:rsid w:val="00326EE3"/>
    <w:rsid w:val="003346E6"/>
    <w:rsid w:val="00334BDB"/>
    <w:rsid w:val="00336C31"/>
    <w:rsid w:val="00345F96"/>
    <w:rsid w:val="0034608A"/>
    <w:rsid w:val="00354F7A"/>
    <w:rsid w:val="003661C2"/>
    <w:rsid w:val="003673CA"/>
    <w:rsid w:val="00373E4A"/>
    <w:rsid w:val="00375DE4"/>
    <w:rsid w:val="00390D00"/>
    <w:rsid w:val="003956A3"/>
    <w:rsid w:val="00397301"/>
    <w:rsid w:val="003A0634"/>
    <w:rsid w:val="003A40CD"/>
    <w:rsid w:val="003A489E"/>
    <w:rsid w:val="003A6CF4"/>
    <w:rsid w:val="003B4312"/>
    <w:rsid w:val="003B57C7"/>
    <w:rsid w:val="003D12F1"/>
    <w:rsid w:val="003D54AD"/>
    <w:rsid w:val="003D693A"/>
    <w:rsid w:val="003E0134"/>
    <w:rsid w:val="003E6C19"/>
    <w:rsid w:val="00421355"/>
    <w:rsid w:val="00425784"/>
    <w:rsid w:val="004518B7"/>
    <w:rsid w:val="00452990"/>
    <w:rsid w:val="004604CD"/>
    <w:rsid w:val="00462CFB"/>
    <w:rsid w:val="004840E1"/>
    <w:rsid w:val="00486681"/>
    <w:rsid w:val="00490071"/>
    <w:rsid w:val="004948FB"/>
    <w:rsid w:val="00497200"/>
    <w:rsid w:val="004A2477"/>
    <w:rsid w:val="004C0C4E"/>
    <w:rsid w:val="004C25A2"/>
    <w:rsid w:val="004C3178"/>
    <w:rsid w:val="004C691E"/>
    <w:rsid w:val="004D4267"/>
    <w:rsid w:val="00504AE4"/>
    <w:rsid w:val="00505829"/>
    <w:rsid w:val="0051447D"/>
    <w:rsid w:val="00523B5F"/>
    <w:rsid w:val="005305D6"/>
    <w:rsid w:val="00551CD1"/>
    <w:rsid w:val="0055542F"/>
    <w:rsid w:val="00561B86"/>
    <w:rsid w:val="00567F21"/>
    <w:rsid w:val="00571959"/>
    <w:rsid w:val="00571B80"/>
    <w:rsid w:val="0058238F"/>
    <w:rsid w:val="00582729"/>
    <w:rsid w:val="00592C00"/>
    <w:rsid w:val="00597694"/>
    <w:rsid w:val="005B0B35"/>
    <w:rsid w:val="005B46A4"/>
    <w:rsid w:val="005B5967"/>
    <w:rsid w:val="005B7AE1"/>
    <w:rsid w:val="005C301C"/>
    <w:rsid w:val="005E27BA"/>
    <w:rsid w:val="005F5040"/>
    <w:rsid w:val="006032E2"/>
    <w:rsid w:val="00615BAF"/>
    <w:rsid w:val="0061609B"/>
    <w:rsid w:val="00623E07"/>
    <w:rsid w:val="00632A0C"/>
    <w:rsid w:val="006379E9"/>
    <w:rsid w:val="006425E0"/>
    <w:rsid w:val="00666247"/>
    <w:rsid w:val="00677AD4"/>
    <w:rsid w:val="00681454"/>
    <w:rsid w:val="00687BAF"/>
    <w:rsid w:val="006945EE"/>
    <w:rsid w:val="006A512D"/>
    <w:rsid w:val="006C5CF7"/>
    <w:rsid w:val="006D77AF"/>
    <w:rsid w:val="006E052D"/>
    <w:rsid w:val="006E6768"/>
    <w:rsid w:val="00710CF1"/>
    <w:rsid w:val="0072369E"/>
    <w:rsid w:val="0073468F"/>
    <w:rsid w:val="00773738"/>
    <w:rsid w:val="0077527A"/>
    <w:rsid w:val="00775B4C"/>
    <w:rsid w:val="007A0E53"/>
    <w:rsid w:val="007A6FEA"/>
    <w:rsid w:val="007C2D06"/>
    <w:rsid w:val="007D20DA"/>
    <w:rsid w:val="007D4E26"/>
    <w:rsid w:val="007E4822"/>
    <w:rsid w:val="007E4A74"/>
    <w:rsid w:val="007F1F00"/>
    <w:rsid w:val="007F20FF"/>
    <w:rsid w:val="0080141E"/>
    <w:rsid w:val="00801642"/>
    <w:rsid w:val="008037E4"/>
    <w:rsid w:val="00804031"/>
    <w:rsid w:val="008044AD"/>
    <w:rsid w:val="00824C5B"/>
    <w:rsid w:val="00846C01"/>
    <w:rsid w:val="00867646"/>
    <w:rsid w:val="0087040E"/>
    <w:rsid w:val="00886A96"/>
    <w:rsid w:val="00893102"/>
    <w:rsid w:val="008A2062"/>
    <w:rsid w:val="008A7BB6"/>
    <w:rsid w:val="008B2BBC"/>
    <w:rsid w:val="008C2627"/>
    <w:rsid w:val="008D0BB7"/>
    <w:rsid w:val="008D0DF7"/>
    <w:rsid w:val="008D2BEA"/>
    <w:rsid w:val="008E44CB"/>
    <w:rsid w:val="00915403"/>
    <w:rsid w:val="00943A32"/>
    <w:rsid w:val="00950BCD"/>
    <w:rsid w:val="009547F5"/>
    <w:rsid w:val="00983036"/>
    <w:rsid w:val="0098745D"/>
    <w:rsid w:val="009954E6"/>
    <w:rsid w:val="009B2B45"/>
    <w:rsid w:val="009E40DB"/>
    <w:rsid w:val="009E4E0D"/>
    <w:rsid w:val="00A0127D"/>
    <w:rsid w:val="00A0283C"/>
    <w:rsid w:val="00A12456"/>
    <w:rsid w:val="00A20C98"/>
    <w:rsid w:val="00A24CF9"/>
    <w:rsid w:val="00A25B9A"/>
    <w:rsid w:val="00A32E87"/>
    <w:rsid w:val="00A44733"/>
    <w:rsid w:val="00A4586F"/>
    <w:rsid w:val="00A46623"/>
    <w:rsid w:val="00A52EE5"/>
    <w:rsid w:val="00A6527C"/>
    <w:rsid w:val="00A72D95"/>
    <w:rsid w:val="00A925C9"/>
    <w:rsid w:val="00AA2B7C"/>
    <w:rsid w:val="00AA3CC7"/>
    <w:rsid w:val="00AA47BF"/>
    <w:rsid w:val="00AA6249"/>
    <w:rsid w:val="00AC1022"/>
    <w:rsid w:val="00AC7415"/>
    <w:rsid w:val="00AC7C81"/>
    <w:rsid w:val="00AD2604"/>
    <w:rsid w:val="00AD3E46"/>
    <w:rsid w:val="00AD7C20"/>
    <w:rsid w:val="00B0313E"/>
    <w:rsid w:val="00B034C3"/>
    <w:rsid w:val="00B11BC7"/>
    <w:rsid w:val="00B1293F"/>
    <w:rsid w:val="00B33946"/>
    <w:rsid w:val="00B416C3"/>
    <w:rsid w:val="00B4296B"/>
    <w:rsid w:val="00B56218"/>
    <w:rsid w:val="00B63506"/>
    <w:rsid w:val="00B70659"/>
    <w:rsid w:val="00B71250"/>
    <w:rsid w:val="00B7328E"/>
    <w:rsid w:val="00B76F3D"/>
    <w:rsid w:val="00B82D54"/>
    <w:rsid w:val="00B848A9"/>
    <w:rsid w:val="00B86D15"/>
    <w:rsid w:val="00BA244C"/>
    <w:rsid w:val="00BA2E85"/>
    <w:rsid w:val="00BB55ED"/>
    <w:rsid w:val="00BD0463"/>
    <w:rsid w:val="00BD0BEA"/>
    <w:rsid w:val="00BD36DF"/>
    <w:rsid w:val="00BE3604"/>
    <w:rsid w:val="00C042A6"/>
    <w:rsid w:val="00C0464F"/>
    <w:rsid w:val="00C07057"/>
    <w:rsid w:val="00C1476F"/>
    <w:rsid w:val="00C20549"/>
    <w:rsid w:val="00C30D0F"/>
    <w:rsid w:val="00C3572F"/>
    <w:rsid w:val="00C45955"/>
    <w:rsid w:val="00C4787D"/>
    <w:rsid w:val="00C5044F"/>
    <w:rsid w:val="00C5501C"/>
    <w:rsid w:val="00C634C1"/>
    <w:rsid w:val="00C71BED"/>
    <w:rsid w:val="00C72247"/>
    <w:rsid w:val="00C87472"/>
    <w:rsid w:val="00C914F9"/>
    <w:rsid w:val="00CA3579"/>
    <w:rsid w:val="00CA67DB"/>
    <w:rsid w:val="00CA70A2"/>
    <w:rsid w:val="00CB54DF"/>
    <w:rsid w:val="00CC12D4"/>
    <w:rsid w:val="00CD3537"/>
    <w:rsid w:val="00CE2A8A"/>
    <w:rsid w:val="00CE5249"/>
    <w:rsid w:val="00CF257C"/>
    <w:rsid w:val="00CF592F"/>
    <w:rsid w:val="00CF6387"/>
    <w:rsid w:val="00D12A76"/>
    <w:rsid w:val="00D20D88"/>
    <w:rsid w:val="00D63ABD"/>
    <w:rsid w:val="00D664EF"/>
    <w:rsid w:val="00D67248"/>
    <w:rsid w:val="00D70F22"/>
    <w:rsid w:val="00D77F86"/>
    <w:rsid w:val="00D8097B"/>
    <w:rsid w:val="00DA0E6B"/>
    <w:rsid w:val="00DA3185"/>
    <w:rsid w:val="00DA4EAA"/>
    <w:rsid w:val="00DB1844"/>
    <w:rsid w:val="00DE03AC"/>
    <w:rsid w:val="00E04762"/>
    <w:rsid w:val="00E05E21"/>
    <w:rsid w:val="00E170F1"/>
    <w:rsid w:val="00E24542"/>
    <w:rsid w:val="00E410D0"/>
    <w:rsid w:val="00E4133D"/>
    <w:rsid w:val="00E458A5"/>
    <w:rsid w:val="00E56153"/>
    <w:rsid w:val="00E61BC2"/>
    <w:rsid w:val="00E702BD"/>
    <w:rsid w:val="00E71C53"/>
    <w:rsid w:val="00E73692"/>
    <w:rsid w:val="00E90C21"/>
    <w:rsid w:val="00E944F8"/>
    <w:rsid w:val="00EC5ECD"/>
    <w:rsid w:val="00ED307F"/>
    <w:rsid w:val="00ED57FF"/>
    <w:rsid w:val="00EE4477"/>
    <w:rsid w:val="00EF1574"/>
    <w:rsid w:val="00EF5D20"/>
    <w:rsid w:val="00F016C4"/>
    <w:rsid w:val="00F50B83"/>
    <w:rsid w:val="00F51CB4"/>
    <w:rsid w:val="00F52037"/>
    <w:rsid w:val="00F56A94"/>
    <w:rsid w:val="00F64830"/>
    <w:rsid w:val="00F67838"/>
    <w:rsid w:val="00F67E1E"/>
    <w:rsid w:val="00F86D9D"/>
    <w:rsid w:val="00F9053B"/>
    <w:rsid w:val="00FB2D9C"/>
    <w:rsid w:val="00FC3948"/>
    <w:rsid w:val="00FC51DA"/>
    <w:rsid w:val="00FC5391"/>
    <w:rsid w:val="00FC6CAA"/>
    <w:rsid w:val="00FD7CC4"/>
    <w:rsid w:val="00FE24E7"/>
    <w:rsid w:val="00FE32FE"/>
    <w:rsid w:val="00FE408A"/>
    <w:rsid w:val="00FE5DBE"/>
    <w:rsid w:val="00FE5DFC"/>
    <w:rsid w:val="00FF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D35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D54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82D54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82D54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82D54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NoSpacing">
    <w:name w:val="No Spacing"/>
    <w:link w:val="NoSpacingChar"/>
    <w:uiPriority w:val="1"/>
    <w:qFormat/>
    <w:rsid w:val="00B82D54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2D54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2D54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B82D54"/>
    <w:rPr>
      <w:vertAlign w:val="superscript"/>
    </w:rPr>
  </w:style>
  <w:style w:type="table" w:styleId="TableGrid">
    <w:name w:val="Table Grid"/>
    <w:basedOn w:val="TableNormal"/>
    <w:uiPriority w:val="59"/>
    <w:rsid w:val="00B82D5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SpacingChar">
    <w:name w:val="No Spacing Char"/>
    <w:link w:val="NoSpacing"/>
    <w:uiPriority w:val="1"/>
    <w:rsid w:val="00B82D54"/>
    <w:rPr>
      <w:rFonts w:ascii="Calibri" w:eastAsia="Times New Roman" w:hAnsi="Calibri" w:cs="Times New Roman"/>
    </w:rPr>
  </w:style>
  <w:style w:type="paragraph" w:customStyle="1" w:styleId="ECHRDecisionBody">
    <w:name w:val="ECHR_Decision_Body"/>
    <w:aliases w:val="Ju_Judges"/>
    <w:basedOn w:val="Normal"/>
    <w:uiPriority w:val="11"/>
    <w:qFormat/>
    <w:rsid w:val="00B82D54"/>
    <w:pPr>
      <w:tabs>
        <w:tab w:val="left" w:pos="567"/>
        <w:tab w:val="left" w:pos="1134"/>
      </w:tabs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customStyle="1" w:styleId="ECHRPara">
    <w:name w:val="ECHR_Para"/>
    <w:aliases w:val="Ju_Para"/>
    <w:basedOn w:val="Normal"/>
    <w:link w:val="ECHRParaChar"/>
    <w:uiPriority w:val="12"/>
    <w:qFormat/>
    <w:rsid w:val="00B82D54"/>
    <w:pPr>
      <w:spacing w:after="0" w:line="240" w:lineRule="auto"/>
      <w:ind w:firstLine="284"/>
      <w:jc w:val="both"/>
    </w:pPr>
    <w:rPr>
      <w:rFonts w:ascii="Times New Roman" w:hAnsi="Times New Roman" w:cs="Times New Roman"/>
      <w:sz w:val="24"/>
      <w:szCs w:val="20"/>
      <w:lang w:val="en-GB" w:eastAsia="x-none"/>
    </w:rPr>
  </w:style>
  <w:style w:type="paragraph" w:customStyle="1" w:styleId="JuCase">
    <w:name w:val="Ju_Case"/>
    <w:basedOn w:val="Normal"/>
    <w:next w:val="ECHRPara"/>
    <w:uiPriority w:val="10"/>
    <w:rsid w:val="00B82D54"/>
    <w:pPr>
      <w:spacing w:after="0" w:line="240" w:lineRule="auto"/>
      <w:ind w:firstLine="284"/>
      <w:jc w:val="both"/>
    </w:pPr>
    <w:rPr>
      <w:rFonts w:ascii="Times New Roman" w:hAnsi="Times New Roman" w:cs="Times New Roman"/>
      <w:b/>
      <w:sz w:val="24"/>
      <w:lang w:val="en-GB"/>
    </w:rPr>
  </w:style>
  <w:style w:type="character" w:customStyle="1" w:styleId="ECHRParaChar">
    <w:name w:val="ECHR_Para Char"/>
    <w:aliases w:val="Ju_Para Char"/>
    <w:link w:val="ECHRPara"/>
    <w:uiPriority w:val="12"/>
    <w:rsid w:val="00B82D54"/>
    <w:rPr>
      <w:rFonts w:ascii="Times New Roman" w:hAnsi="Times New Roman" w:cs="Times New Roman"/>
      <w:sz w:val="24"/>
      <w:szCs w:val="20"/>
      <w:lang w:val="en-GB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D54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82D54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82D54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82D54"/>
    <w:rPr>
      <w:rFonts w:ascii="Calibri" w:eastAsia="Times New Roman" w:hAnsi="Calibri" w:cs="Times New Roman"/>
      <w:sz w:val="20"/>
      <w:szCs w:val="20"/>
      <w:lang w:val="en-GB" w:eastAsia="en-GB"/>
    </w:rPr>
  </w:style>
  <w:style w:type="paragraph" w:styleId="NoSpacing">
    <w:name w:val="No Spacing"/>
    <w:link w:val="NoSpacingChar"/>
    <w:uiPriority w:val="1"/>
    <w:qFormat/>
    <w:rsid w:val="00B82D54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2D54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2D54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B82D54"/>
    <w:rPr>
      <w:vertAlign w:val="superscript"/>
    </w:rPr>
  </w:style>
  <w:style w:type="table" w:styleId="TableGrid">
    <w:name w:val="Table Grid"/>
    <w:basedOn w:val="TableNormal"/>
    <w:uiPriority w:val="59"/>
    <w:rsid w:val="00B82D5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SpacingChar">
    <w:name w:val="No Spacing Char"/>
    <w:link w:val="NoSpacing"/>
    <w:uiPriority w:val="1"/>
    <w:rsid w:val="00B82D54"/>
    <w:rPr>
      <w:rFonts w:ascii="Calibri" w:eastAsia="Times New Roman" w:hAnsi="Calibri" w:cs="Times New Roman"/>
    </w:rPr>
  </w:style>
  <w:style w:type="paragraph" w:customStyle="1" w:styleId="ECHRDecisionBody">
    <w:name w:val="ECHR_Decision_Body"/>
    <w:aliases w:val="Ju_Judges"/>
    <w:basedOn w:val="Normal"/>
    <w:uiPriority w:val="11"/>
    <w:qFormat/>
    <w:rsid w:val="00B82D54"/>
    <w:pPr>
      <w:tabs>
        <w:tab w:val="left" w:pos="567"/>
        <w:tab w:val="left" w:pos="1134"/>
      </w:tabs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customStyle="1" w:styleId="ECHRPara">
    <w:name w:val="ECHR_Para"/>
    <w:aliases w:val="Ju_Para"/>
    <w:basedOn w:val="Normal"/>
    <w:link w:val="ECHRParaChar"/>
    <w:uiPriority w:val="12"/>
    <w:qFormat/>
    <w:rsid w:val="00B82D54"/>
    <w:pPr>
      <w:spacing w:after="0" w:line="240" w:lineRule="auto"/>
      <w:ind w:firstLine="284"/>
      <w:jc w:val="both"/>
    </w:pPr>
    <w:rPr>
      <w:rFonts w:ascii="Times New Roman" w:hAnsi="Times New Roman" w:cs="Times New Roman"/>
      <w:sz w:val="24"/>
      <w:szCs w:val="20"/>
      <w:lang w:val="en-GB" w:eastAsia="x-none"/>
    </w:rPr>
  </w:style>
  <w:style w:type="paragraph" w:customStyle="1" w:styleId="JuCase">
    <w:name w:val="Ju_Case"/>
    <w:basedOn w:val="Normal"/>
    <w:next w:val="ECHRPara"/>
    <w:uiPriority w:val="10"/>
    <w:rsid w:val="00B82D54"/>
    <w:pPr>
      <w:spacing w:after="0" w:line="240" w:lineRule="auto"/>
      <w:ind w:firstLine="284"/>
      <w:jc w:val="both"/>
    </w:pPr>
    <w:rPr>
      <w:rFonts w:ascii="Times New Roman" w:hAnsi="Times New Roman" w:cs="Times New Roman"/>
      <w:b/>
      <w:sz w:val="24"/>
      <w:lang w:val="en-GB"/>
    </w:rPr>
  </w:style>
  <w:style w:type="character" w:customStyle="1" w:styleId="ECHRParaChar">
    <w:name w:val="ECHR_Para Char"/>
    <w:aliases w:val="Ju_Para Char"/>
    <w:link w:val="ECHRPara"/>
    <w:uiPriority w:val="12"/>
    <w:rsid w:val="00B82D54"/>
    <w:rPr>
      <w:rFonts w:ascii="Times New Roman" w:hAnsi="Times New Roman" w:cs="Times New Roman"/>
      <w:sz w:val="24"/>
      <w:szCs w:val="20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publikimi xmlns="0e656187-b300-4fb0-8bf4-3a50f872073c" xsi:nil="true"/>
    <Nr_x002e__x0020_akti xmlns="0e656187-b300-4fb0-8bf4-3a50f872073c">11254-11</Nr_x002e__x0020_akti>
    <Data_x0020_e_x0020_Krijimit xmlns="0e656187-b300-4fb0-8bf4-3a50f872073c">2023-08-17T09:21:39Z</Data_x0020_e_x0020_Krijimit>
    <URL xmlns="0e656187-b300-4fb0-8bf4-3a50f872073c" xsi:nil="true"/>
    <Institucion_x0020_Pergjegjes xmlns="0e656187-b300-4fb0-8bf4-3a50f872073c">http://qbz.gov.al/resource/authority/legal-institution/15|gjykata-europiane-e-te-drejtave-te-njeriut</Institucion_x0020_Pergjegjes>
    <Lloji_x0020_i_x0020_aktit xmlns="0e656187-b300-4fb0-8bf4-3a50f872073c">Akt bazë</Lloji_x0020_i_x0020_aktit>
    <Tipi_x0020_i_x0020_aktit xmlns="0e656187-b300-4fb0-8bf4-3a50f872073c" xsi:nil="true"/>
    <P_x00eb_rshkrimi xmlns="0e656187-b300-4fb0-8bf4-3a50f872073c" xsi:nil="true"/>
    <Data_x0020_e_x0020_FZ xmlns="0e656187-b300-4fb0-8bf4-3a50f872073c" xsi:nil="true"/>
    <Akte_x0020_ekstra xmlns="0e656187-b300-4fb0-8bf4-3a50f872073c">false</Akte_x0020_ekstra>
    <Nr_x002e__x0020_FZ xmlns="0e656187-b300-4fb0-8bf4-3a50f872073c" xsi:nil="true"/>
    <Krijuesi xmlns="0e656187-b300-4fb0-8bf4-3a50f872073c">entela.suli</Krijuesi>
    <Date_x0020_protokolli xmlns="0e656187-b300-4fb0-8bf4-3a50f872073c">2023-08-16T22:00:00Z</Date_x0020_protokolli>
    <Titulli xmlns="0e656187-b300-4fb0-8bf4-3a50f872073c">Çështja Hamitaj kundër Shqipërisë</Titulli>
    <Modifikuesi xmlns="0e656187-b300-4fb0-8bf4-3a50f872073c">Amarilda.Muja</Modifikuesi>
    <Nr_x002e__x0020_prot_x0020_QBZ xmlns="0e656187-b300-4fb0-8bf4-3a50f872073c">1278/1</Nr_x002e__x0020_prot_x0020_QBZ>
    <Data_x0020_e_x0020_Modifikimit xmlns="0e656187-b300-4fb0-8bf4-3a50f872073c">2023-08-18T08:53:20Z</Data_x0020_e_x0020_Modifikimit>
    <Dekretuar xmlns="0e656187-b300-4fb0-8bf4-3a50f872073c">false</Dekretuar>
    <Data xmlns="0e656187-b300-4fb0-8bf4-3a50f872073c">2023-07-19T22:00:00Z</Data>
    <Nr_x002e__x0020_protokolli_x0020_i_x0020_aktit xmlns="0e656187-b300-4fb0-8bf4-3a50f872073c">4970/1</Nr_x002e__x0020_protokolli_x0020_i_x0020_aktit>
    <Data_x0020_e_x0020_Aksesimit_x0020_t_x00eb__x0020_Fundit xmlns="0e656187-b300-4fb0-8bf4-3a50f872073c" xsi:nil="true"/>
    <Eligible_x0020_To_x0020_Select xmlns="0e656187-b300-4fb0-8bf4-3a50f872073c">true</Eligible_x0020_To_x0020_Selec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kt ligjor" ma:contentTypeID="0x01010029BF7CD1E1954F9C8A22E4445B4C86EA" ma:contentTypeVersion="1" ma:contentTypeDescription="" ma:contentTypeScope="" ma:versionID="84a7f6b9a9324c93f7c429fe637c4145">
  <xsd:schema xmlns:xsd="http://www.w3.org/2001/XMLSchema" xmlns:p="http://schemas.microsoft.com/office/2006/metadata/properties" xmlns:ns2="0e656187-b300-4fb0-8bf4-3a50f872073c" targetNamespace="http://schemas.microsoft.com/office/2006/metadata/properties" ma:root="true" ma:fieldsID="d82bb511108d8e269345fc9bd5c1ab5b" ns2:_="">
    <xsd:import namespace="0e656187-b300-4fb0-8bf4-3a50f872073c"/>
    <xsd:element name="properties">
      <xsd:complexType>
        <xsd:sequence>
          <xsd:element name="documentManagement">
            <xsd:complexType>
              <xsd:all>
                <xsd:element ref="ns2:Date_x0020_publikimi" minOccurs="0"/>
                <xsd:element ref="ns2:Nr_x002e__x0020_akti"/>
                <xsd:element ref="ns2:Data_x0020_e_x0020_Krijimit" minOccurs="0"/>
                <xsd:element ref="ns2:URL" minOccurs="0"/>
                <xsd:element ref="ns2:Institucion_x0020_Pergjegjes"/>
                <xsd:element ref="ns2:Lloji_x0020_i_x0020_aktit"/>
                <xsd:element ref="ns2:Tipi_x0020_i_x0020_aktit" minOccurs="0"/>
                <xsd:element ref="ns2:P_x00eb_rshkrimi" minOccurs="0"/>
                <xsd:element ref="ns2:Data_x0020_e_x0020_FZ" minOccurs="0"/>
                <xsd:element ref="ns2:Akte_x0020_ekstra" minOccurs="0"/>
                <xsd:element ref="ns2:Nr_x002e__x0020_FZ" minOccurs="0"/>
                <xsd:element ref="ns2:Krijuesi" minOccurs="0"/>
                <xsd:element ref="ns2:Date_x0020_protokolli"/>
                <xsd:element ref="ns2:Titulli"/>
                <xsd:element ref="ns2:Modifikuesi" minOccurs="0"/>
                <xsd:element ref="ns2:Nr_x002e__x0020_prot_x0020_QBZ"/>
                <xsd:element ref="ns2:Data_x0020_e_x0020_Modifikimit" minOccurs="0"/>
                <xsd:element ref="ns2:Dekretuar" minOccurs="0"/>
                <xsd:element ref="ns2:Data"/>
                <xsd:element ref="ns2:Nr_x002e__x0020_protokolli_x0020_i_x0020_aktit"/>
                <xsd:element ref="ns2:Data_x0020_e_x0020_Aksesimit_x0020_t_x00eb__x0020_Fundit" minOccurs="0"/>
                <xsd:element ref="ns2:Eligible_x0020_To_x0020_Sel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e656187-b300-4fb0-8bf4-3a50f872073c" elementFormDefault="qualified">
    <xsd:import namespace="http://schemas.microsoft.com/office/2006/documentManagement/types"/>
    <xsd:element name="Date_x0020_publikimi" ma:index="8" nillable="true" ma:displayName="Date publikimi" ma:format="DateTime" ma:internalName="Date_x0020_publikimi">
      <xsd:simpleType>
        <xsd:restriction base="dms:DateTime">
</xsd:restriction>
      </xsd:simpleType>
    </xsd:element>
    <xsd:element name="Nr_x002e__x0020_akti" ma:index="9" ma:displayName="Nr. akti" ma:internalName="Nr_x002e__x0020_akti">
      <xsd:simpleType>
        <xsd:restriction base="dms:Text">
</xsd:restriction>
      </xsd:simpleType>
    </xsd:element>
    <xsd:element name="Data_x0020_e_x0020_Krijimit" ma:readOnly="true" ma:index="10" nillable="true" ma:displayName="Data e Krijimit" ma:format="DateTime" ma:internalName="Data_x0020_e_x0020_Krijimit">
      <xsd:simpleType>
        <xsd:restriction base="dms:DateTime">
</xsd:restriction>
      </xsd:simpleType>
    </xsd:element>
    <xsd:element name="URL" ma:index="11" nillable="true" ma:displayName="URL" ma:internalName="URL">
      <xsd:simpleType>
        <xsd:restriction base="dms:Text">
</xsd:restriction>
      </xsd:simpleType>
    </xsd:element>
    <xsd:element name="Institucion_x0020_Pergjegjes" ma:index="12" ma:displayName="Institucion Pergjegjes" ma:internalName="Institucion_x0020_Pergjegjes">
      <xsd:simpleType>
        <xsd:restriction base="dms:Text">
</xsd:restriction>
      </xsd:simpleType>
    </xsd:element>
    <xsd:element name="Lloji_x0020_i_x0020_aktit" ma:index="13" ma:displayName="Lloji i aktit" ma:format="Dropdown" ma:internalName="Lloji_x0020_i_x0020_aktit">
      <xsd:simpleType>
        <xsd:restriction base="dms:Choice">
          <xsd:enumeration value="Akt bazë"/>
          <xsd:enumeration value="Akt ndryshues"/>
          <xsd:enumeration value="Akt shfuqizues"/>
          <xsd:enumeration value="Ndreqje gabimi"/>
        </xsd:restriction>
      </xsd:simpleType>
    </xsd:element>
    <xsd:element name="Tipi_x0020_i_x0020_aktit" ma:index="14" nillable="true" ma:displayName="Tipi i aktit" ma:internalName="Tipi_x0020_i_x0020_aktit">
      <xsd:simpleType>
        <xsd:restriction base="dms:Text">
</xsd:restriction>
      </xsd:simpleType>
    </xsd:element>
    <xsd:element name="P_x00eb_rshkrimi" ma:index="15" nillable="true" ma:displayName="Përshkrimi" ma:internalName="P_x00eb_rshkrimi">
      <xsd:simpleType>
        <xsd:restriction base="dms:Note">
</xsd:restriction>
      </xsd:simpleType>
    </xsd:element>
    <xsd:element name="Data_x0020_e_x0020_FZ" ma:index="16" nillable="true" ma:displayName="Data e FZ" ma:format="DateOnly" ma:internalName="Data_x0020_e_x0020_FZ">
      <xsd:simpleType>
        <xsd:restriction base="dms:DateTime">
</xsd:restriction>
      </xsd:simpleType>
    </xsd:element>
    <xsd:element name="Akte_x0020_ekstra" ma:index="17" nillable="true" ma:displayName="Akte ekstra" ma:default="0" ma:internalName="Akte_x0020_ekstra">
      <xsd:simpleType>
        <xsd:restriction base="dms:Boolean">
</xsd:restriction>
      </xsd:simpleType>
    </xsd:element>
    <xsd:element name="Nr_x002e__x0020_FZ" ma:index="18" nillable="true" ma:displayName="Nr. FZ" ma:internalName="Nr_x002e__x0020_FZ">
      <xsd:simpleType>
        <xsd:restriction base="dms:Text">
</xsd:restriction>
      </xsd:simpleType>
    </xsd:element>
    <xsd:element name="Krijuesi" ma:readOnly="true" ma:index="19" nillable="true" ma:displayName="Krijuesi" ma:internalName="Krijuesi">
      <xsd:simpleType>
        <xsd:restriction base="dms:Text">
</xsd:restriction>
      </xsd:simpleType>
    </xsd:element>
    <xsd:element name="Date_x0020_protokolli" ma:index="20" ma:displayName="Date protokolli" ma:format="DateOnly" ma:internalName="Date_x0020_protokolli">
      <xsd:simpleType>
        <xsd:restriction base="dms:DateTime">
</xsd:restriction>
      </xsd:simpleType>
    </xsd:element>
    <xsd:element name="Titulli" ma:index="21" ma:displayName="Titulli" ma:internalName="Titulli">
      <xsd:simpleType>
        <xsd:restriction base="dms:Text">
</xsd:restriction>
      </xsd:simpleType>
    </xsd:element>
    <xsd:element name="Modifikuesi" ma:readOnly="true" ma:index="22" nillable="true" ma:displayName="Modifikuesi" ma:internalName="Modifikuesi">
      <xsd:simpleType>
        <xsd:restriction base="dms:Text">
</xsd:restriction>
      </xsd:simpleType>
    </xsd:element>
    <xsd:element name="Nr_x002e__x0020_prot_x0020_QBZ" ma:index="23" ma:displayName="Nr. prot QBZ" ma:internalName="Nr_x002e__x0020_prot_x0020_QBZ">
      <xsd:simpleType>
        <xsd:restriction base="dms:Text">
</xsd:restriction>
      </xsd:simpleType>
    </xsd:element>
    <xsd:element name="Data_x0020_e_x0020_Modifikimit" ma:readOnly="true" ma:index="24" nillable="true" ma:displayName="Data e Modifikimit" ma:format="DateTime" ma:internalName="Data_x0020_e_x0020_Modifikimit">
      <xsd:simpleType>
        <xsd:restriction base="dms:DateTime">
</xsd:restriction>
      </xsd:simpleType>
    </xsd:element>
    <xsd:element name="Dekretuar" ma:index="25" nillable="true" ma:displayName="Dekretuar" ma:default="0" ma:internalName="Dekretuar">
      <xsd:simpleType>
        <xsd:restriction base="dms:Boolean">
</xsd:restriction>
      </xsd:simpleType>
    </xsd:element>
    <xsd:element name="Data" ma:index="26" ma:displayName="Data" ma:format="DateOnly" ma:internalName="Data">
      <xsd:simpleType>
        <xsd:restriction base="dms:DateTime">
</xsd:restriction>
      </xsd:simpleType>
    </xsd:element>
    <xsd:element name="Nr_x002e__x0020_protokolli_x0020_i_x0020_aktit" ma:index="27" ma:displayName="Nr. protokolli i aktit" ma:internalName="Nr_x002e__x0020_protokolli_x0020_i_x0020_aktit">
      <xsd:simpleType>
        <xsd:restriction base="dms:Text">
</xsd:restriction>
      </xsd:simpleType>
    </xsd:element>
    <xsd:element name="Data_x0020_e_x0020_Aksesimit_x0020_t_x00eb__x0020_Fundit" ma:readOnly="true" ma:index="28" nillable="true" ma:displayName="Data e Aksesimit të Fundit" ma:format="DateTime" ma:internalName="Data_x0020_e_x0020_Aksesimit_x0020_t_x00eb__x0020_Fundit">
      <xsd:simpleType>
        <xsd:restriction base="dms:DateTime">
</xsd:restriction>
      </xsd:simpleType>
    </xsd:element>
    <xsd:element name="Eligible_x0020_To_x0020_Select" ma:index="29" nillable="true" ma:displayName="Eligible To Select" ma:default="0" ma:internalName="Eligible_x0020_To_x0020_Select">
      <xsd:simpleType>
        <xsd:restriction base="dms:Boolean">
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-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/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D0B614-AEF5-4550-9AEB-F3444A213550}">
  <ds:schemaRefs>
    <ds:schemaRef ds:uri="http://schemas.openxmlformats.org/package/2006/metadata/core-properties"/>
    <ds:schemaRef ds:uri="0e656187-b300-4fb0-8bf4-3a50f872073c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651904F-50E2-44C3-86A4-32B0E5F10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56187-b300-4fb0-8bf4-3a50f872073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E34DA51-23F9-44EE-B240-270B4CD1A6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Çështja Hamitaj kundër Shqipërisë</vt:lpstr>
    </vt:vector>
  </TitlesOfParts>
  <Company/>
  <LinksUpToDate>false</LinksUpToDate>
  <CharactersWithSpaces>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Çështja Hamitaj kundër Shqipërisë</dc:title>
  <dc:creator>Entela Suli</dc:creator>
  <cp:lastModifiedBy>Jonida Zaharia</cp:lastModifiedBy>
  <cp:revision>2</cp:revision>
  <dcterms:created xsi:type="dcterms:W3CDTF">2024-01-12T09:28:00Z</dcterms:created>
  <dcterms:modified xsi:type="dcterms:W3CDTF">2024-01-12T09:28:00Z</dcterms:modified>
</cp:coreProperties>
</file>