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DF2E" w14:textId="70DE2110" w:rsidR="0051447D" w:rsidRPr="00582729" w:rsidRDefault="0051447D" w:rsidP="0051447D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bookmarkStart w:id="0" w:name="_Hlk136853201"/>
      <w:r w:rsidRPr="00582729">
        <w:rPr>
          <w:rFonts w:ascii="Garamond" w:hAnsi="Garamond"/>
          <w:sz w:val="24"/>
          <w:szCs w:val="24"/>
        </w:rPr>
        <w:t>GJYKATA EVROPIANE E TË DREJTAVE TË NJERIUT</w:t>
      </w:r>
    </w:p>
    <w:p w14:paraId="14A748CB" w14:textId="77777777" w:rsidR="0051447D" w:rsidRPr="00582729" w:rsidRDefault="0051447D" w:rsidP="0051447D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12"/>
          <w:szCs w:val="24"/>
        </w:rPr>
      </w:pPr>
    </w:p>
    <w:p w14:paraId="55E4BE6D" w14:textId="70A04F76" w:rsidR="00B82D54" w:rsidRPr="00582729" w:rsidRDefault="00B82D54" w:rsidP="0051447D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r w:rsidRPr="00582729">
        <w:rPr>
          <w:rFonts w:ascii="Garamond" w:hAnsi="Garamond"/>
          <w:sz w:val="24"/>
          <w:szCs w:val="24"/>
        </w:rPr>
        <w:t>SEKSIONI I TRETË</w:t>
      </w:r>
    </w:p>
    <w:p w14:paraId="51155927" w14:textId="77777777" w:rsidR="0051447D" w:rsidRPr="00582729" w:rsidRDefault="0051447D" w:rsidP="0051447D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12"/>
          <w:szCs w:val="24"/>
        </w:rPr>
      </w:pPr>
    </w:p>
    <w:p w14:paraId="436A2D92" w14:textId="77777777" w:rsidR="00B82D54" w:rsidRPr="00582729" w:rsidRDefault="00B82D54" w:rsidP="00B82D54">
      <w:pPr>
        <w:spacing w:after="0" w:line="240" w:lineRule="auto"/>
        <w:ind w:firstLine="284"/>
        <w:jc w:val="center"/>
        <w:outlineLvl w:val="0"/>
        <w:rPr>
          <w:rFonts w:ascii="Garamond" w:hAnsi="Garamond"/>
          <w:b/>
          <w:sz w:val="24"/>
          <w:szCs w:val="24"/>
        </w:rPr>
      </w:pPr>
      <w:bookmarkStart w:id="1" w:name="_GoBack"/>
      <w:r w:rsidRPr="00582729">
        <w:rPr>
          <w:rFonts w:ascii="Garamond" w:hAnsi="Garamond"/>
          <w:b/>
          <w:sz w:val="24"/>
          <w:szCs w:val="24"/>
        </w:rPr>
        <w:t>ÇËSHTJA HAMITAJ KUNDËR SHQIPËRISË</w:t>
      </w:r>
    </w:p>
    <w:bookmarkEnd w:id="1"/>
    <w:p w14:paraId="5B6308F0" w14:textId="77777777" w:rsidR="00B82D54" w:rsidRPr="00582729" w:rsidRDefault="00B82D54" w:rsidP="00B82D54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r w:rsidRPr="00582729">
        <w:rPr>
          <w:rFonts w:ascii="Garamond" w:hAnsi="Garamond"/>
          <w:i/>
          <w:sz w:val="24"/>
          <w:szCs w:val="24"/>
        </w:rPr>
        <w:t>(Kërkesa nr. 11254/11)</w:t>
      </w:r>
    </w:p>
    <w:p w14:paraId="015AC34C" w14:textId="77777777" w:rsidR="00B82D54" w:rsidRPr="00582729" w:rsidRDefault="00B82D54" w:rsidP="00B82D54">
      <w:pPr>
        <w:spacing w:after="0" w:line="240" w:lineRule="auto"/>
        <w:ind w:firstLine="284"/>
        <w:jc w:val="center"/>
        <w:outlineLvl w:val="0"/>
        <w:rPr>
          <w:rFonts w:ascii="Garamond" w:hAnsi="Garamond"/>
          <w:sz w:val="24"/>
          <w:szCs w:val="24"/>
        </w:rPr>
      </w:pPr>
    </w:p>
    <w:p w14:paraId="1391A965" w14:textId="2501A1BA" w:rsidR="00B82D54" w:rsidRPr="00C914F9" w:rsidRDefault="00B82D54" w:rsidP="00C914F9">
      <w:pPr>
        <w:spacing w:after="0" w:line="240" w:lineRule="auto"/>
        <w:ind w:firstLine="284"/>
        <w:jc w:val="center"/>
        <w:outlineLvl w:val="0"/>
        <w:rPr>
          <w:rFonts w:ascii="Garamond" w:hAnsi="Garamond"/>
          <w:sz w:val="24"/>
          <w:szCs w:val="24"/>
        </w:rPr>
      </w:pPr>
      <w:r w:rsidRPr="00582729">
        <w:rPr>
          <w:rFonts w:ascii="Garamond" w:hAnsi="Garamond"/>
          <w:sz w:val="24"/>
          <w:szCs w:val="24"/>
        </w:rPr>
        <w:t>VENDIM</w:t>
      </w:r>
    </w:p>
    <w:p w14:paraId="561C4804" w14:textId="77777777" w:rsidR="00B82D54" w:rsidRPr="00582729" w:rsidRDefault="00B82D54" w:rsidP="00B82D54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r w:rsidRPr="00582729">
        <w:rPr>
          <w:rFonts w:ascii="Garamond" w:hAnsi="Garamond"/>
          <w:sz w:val="24"/>
          <w:szCs w:val="24"/>
        </w:rPr>
        <w:t>STRASBURG</w:t>
      </w:r>
    </w:p>
    <w:p w14:paraId="1603AC1E" w14:textId="761A7A98" w:rsidR="00B82D54" w:rsidRPr="00582729" w:rsidRDefault="00B82D54" w:rsidP="00B82D54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r w:rsidRPr="00582729">
        <w:rPr>
          <w:rFonts w:ascii="Garamond" w:hAnsi="Garamond"/>
          <w:sz w:val="24"/>
          <w:szCs w:val="24"/>
        </w:rPr>
        <w:t xml:space="preserve">20 </w:t>
      </w:r>
      <w:r w:rsidR="0051447D" w:rsidRPr="00582729">
        <w:rPr>
          <w:rFonts w:ascii="Garamond" w:hAnsi="Garamond"/>
          <w:sz w:val="24"/>
          <w:szCs w:val="24"/>
        </w:rPr>
        <w:t>k</w:t>
      </w:r>
      <w:r w:rsidRPr="00582729">
        <w:rPr>
          <w:rFonts w:ascii="Garamond" w:hAnsi="Garamond"/>
          <w:sz w:val="24"/>
          <w:szCs w:val="24"/>
        </w:rPr>
        <w:t>orrik 2023</w:t>
      </w:r>
    </w:p>
    <w:p w14:paraId="25EEB0D9" w14:textId="77777777" w:rsidR="00B82D54" w:rsidRPr="00582729" w:rsidRDefault="00B82D54" w:rsidP="00B82D54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</w:p>
    <w:p w14:paraId="51034647" w14:textId="53EBCED1" w:rsidR="00B82D54" w:rsidRPr="00582729" w:rsidRDefault="00B82D54" w:rsidP="00B82D54">
      <w:pPr>
        <w:spacing w:after="0" w:line="240" w:lineRule="auto"/>
        <w:ind w:firstLine="284"/>
        <w:jc w:val="center"/>
        <w:rPr>
          <w:rFonts w:ascii="Garamond" w:hAnsi="Garamond"/>
          <w:i/>
          <w:iCs/>
          <w:sz w:val="24"/>
          <w:szCs w:val="24"/>
        </w:rPr>
      </w:pPr>
      <w:r w:rsidRPr="00582729">
        <w:rPr>
          <w:rFonts w:ascii="Garamond" w:hAnsi="Garamond"/>
          <w:i/>
          <w:iCs/>
          <w:sz w:val="24"/>
          <w:szCs w:val="24"/>
        </w:rPr>
        <w:t>Ky vendim është i formës së prerë, por mund të bëhet objekt i</w:t>
      </w:r>
      <w:r w:rsidR="00B0313E">
        <w:rPr>
          <w:rFonts w:ascii="Garamond" w:hAnsi="Garamond"/>
          <w:i/>
          <w:iCs/>
          <w:sz w:val="24"/>
          <w:szCs w:val="24"/>
        </w:rPr>
        <w:t xml:space="preserve"> </w:t>
      </w:r>
      <w:r w:rsidRPr="00582729">
        <w:rPr>
          <w:rFonts w:ascii="Garamond" w:hAnsi="Garamond"/>
          <w:i/>
          <w:iCs/>
          <w:sz w:val="24"/>
          <w:szCs w:val="24"/>
        </w:rPr>
        <w:t>rishikimit redaktues.</w:t>
      </w:r>
    </w:p>
    <w:p w14:paraId="05ABFCA5" w14:textId="77777777" w:rsidR="00B82D54" w:rsidRPr="00582729" w:rsidRDefault="00B82D54" w:rsidP="00B82D54">
      <w:pPr>
        <w:pStyle w:val="JuCase"/>
        <w:rPr>
          <w:rFonts w:ascii="Garamond" w:hAnsi="Garamond"/>
          <w:szCs w:val="24"/>
          <w:lang w:val="sq-AL"/>
        </w:rPr>
      </w:pPr>
    </w:p>
    <w:p w14:paraId="3207FA2B" w14:textId="77777777" w:rsidR="00B82D54" w:rsidRPr="00582729" w:rsidRDefault="00B82D54" w:rsidP="00B82D54">
      <w:pPr>
        <w:pStyle w:val="JuCase"/>
        <w:rPr>
          <w:rFonts w:ascii="Garamond" w:hAnsi="Garamond"/>
          <w:szCs w:val="24"/>
          <w:lang w:val="sq-AL"/>
        </w:rPr>
      </w:pPr>
      <w:r w:rsidRPr="00582729">
        <w:rPr>
          <w:rFonts w:ascii="Garamond" w:hAnsi="Garamond"/>
          <w:szCs w:val="24"/>
          <w:lang w:val="sq-AL"/>
        </w:rPr>
        <w:t>Në çështjen Hamitaj kundër Shqipërisë,</w:t>
      </w:r>
    </w:p>
    <w:p w14:paraId="77150E3F" w14:textId="77777777" w:rsidR="00B82D54" w:rsidRPr="00582729" w:rsidRDefault="00B82D54" w:rsidP="00B82D54">
      <w:pPr>
        <w:pStyle w:val="ECHRPara"/>
        <w:rPr>
          <w:rFonts w:ascii="Garamond" w:hAnsi="Garamond"/>
          <w:szCs w:val="24"/>
          <w:lang w:val="sq-AL"/>
        </w:rPr>
      </w:pPr>
      <w:r w:rsidRPr="00582729">
        <w:rPr>
          <w:rFonts w:ascii="Garamond" w:hAnsi="Garamond"/>
          <w:szCs w:val="24"/>
          <w:lang w:val="sq-AL"/>
        </w:rPr>
        <w:t xml:space="preserve">Gjykata Evropiane e të Drejtave të Njeriut (Seksioni i Tretë), e mbledhur si një Komitet i përbërë nga: </w:t>
      </w:r>
    </w:p>
    <w:p w14:paraId="7DD083CA" w14:textId="586035EC" w:rsidR="00B82D54" w:rsidRPr="00582729" w:rsidRDefault="00B82D54" w:rsidP="00B82D54">
      <w:pPr>
        <w:pStyle w:val="ECHRDecisionBody"/>
        <w:ind w:firstLine="284"/>
        <w:rPr>
          <w:rFonts w:ascii="Garamond" w:hAnsi="Garamond"/>
          <w:i/>
          <w:szCs w:val="24"/>
          <w:lang w:val="sq-AL"/>
        </w:rPr>
      </w:pPr>
      <w:r w:rsidRPr="00582729">
        <w:rPr>
          <w:rFonts w:ascii="Garamond" w:hAnsi="Garamond"/>
          <w:iCs/>
          <w:szCs w:val="24"/>
          <w:lang w:val="sq-AL"/>
        </w:rPr>
        <w:t>Ioannis Ktistakis</w:t>
      </w:r>
      <w:r w:rsidRPr="00582729">
        <w:rPr>
          <w:rFonts w:ascii="Garamond" w:hAnsi="Garamond"/>
          <w:szCs w:val="24"/>
          <w:lang w:val="sq-AL"/>
        </w:rPr>
        <w:t>,</w:t>
      </w:r>
      <w:r w:rsidRPr="00582729">
        <w:rPr>
          <w:rFonts w:ascii="Garamond" w:hAnsi="Garamond"/>
          <w:i/>
          <w:szCs w:val="24"/>
          <w:lang w:val="sq-AL"/>
        </w:rPr>
        <w:t xml:space="preserve"> </w:t>
      </w:r>
      <w:r w:rsidR="00582729" w:rsidRPr="00582729">
        <w:rPr>
          <w:rFonts w:ascii="Garamond" w:hAnsi="Garamond"/>
          <w:i/>
          <w:szCs w:val="24"/>
          <w:lang w:val="sq-AL"/>
        </w:rPr>
        <w:t>k</w:t>
      </w:r>
      <w:r w:rsidRPr="00582729">
        <w:rPr>
          <w:rFonts w:ascii="Garamond" w:hAnsi="Garamond"/>
          <w:i/>
          <w:szCs w:val="24"/>
          <w:lang w:val="sq-AL"/>
        </w:rPr>
        <w:t>ryetar,</w:t>
      </w:r>
    </w:p>
    <w:p w14:paraId="435CD4CB" w14:textId="7E017520" w:rsidR="00B82D54" w:rsidRPr="00582729" w:rsidRDefault="00B82D54" w:rsidP="00B82D54">
      <w:pPr>
        <w:pStyle w:val="ECHRDecisionBody"/>
        <w:ind w:firstLine="284"/>
        <w:rPr>
          <w:rFonts w:ascii="Garamond" w:hAnsi="Garamond"/>
          <w:szCs w:val="24"/>
          <w:lang w:val="sq-AL"/>
        </w:rPr>
      </w:pPr>
      <w:r w:rsidRPr="00582729">
        <w:rPr>
          <w:rFonts w:ascii="Garamond" w:hAnsi="Garamond"/>
          <w:i/>
          <w:szCs w:val="24"/>
          <w:lang w:val="sq-AL"/>
        </w:rPr>
        <w:t xml:space="preserve"> </w:t>
      </w:r>
      <w:r w:rsidRPr="00582729">
        <w:rPr>
          <w:rFonts w:ascii="Garamond" w:hAnsi="Garamond"/>
          <w:szCs w:val="24"/>
          <w:lang w:val="sq-AL"/>
        </w:rPr>
        <w:t>Darian Pavli,</w:t>
      </w:r>
    </w:p>
    <w:p w14:paraId="5B5C45B0" w14:textId="18F73707" w:rsidR="00B82D54" w:rsidRPr="00582729" w:rsidRDefault="00B82D54" w:rsidP="00B82D54">
      <w:pPr>
        <w:pStyle w:val="ECHRDecisionBody"/>
        <w:ind w:firstLine="284"/>
        <w:rPr>
          <w:rFonts w:ascii="Garamond" w:hAnsi="Garamond"/>
          <w:szCs w:val="24"/>
          <w:lang w:val="sq-AL"/>
        </w:rPr>
      </w:pPr>
      <w:r w:rsidRPr="00582729">
        <w:rPr>
          <w:rFonts w:ascii="Garamond" w:hAnsi="Garamond"/>
          <w:szCs w:val="24"/>
          <w:lang w:val="sq-AL"/>
        </w:rPr>
        <w:t xml:space="preserve"> Oddný Mjöll Arnardóttir, </w:t>
      </w:r>
      <w:r w:rsidRPr="00582729">
        <w:rPr>
          <w:rFonts w:ascii="Garamond" w:hAnsi="Garamond"/>
          <w:i/>
          <w:szCs w:val="24"/>
          <w:lang w:val="sq-AL"/>
        </w:rPr>
        <w:t>gjyqtarë</w:t>
      </w:r>
      <w:r w:rsidR="000D0E85">
        <w:rPr>
          <w:rFonts w:ascii="Garamond" w:hAnsi="Garamond"/>
          <w:i/>
          <w:szCs w:val="24"/>
          <w:lang w:val="sq-AL"/>
        </w:rPr>
        <w:t>,</w:t>
      </w:r>
      <w:r w:rsidRPr="00582729">
        <w:rPr>
          <w:rFonts w:ascii="Garamond" w:hAnsi="Garamond"/>
          <w:i/>
          <w:szCs w:val="24"/>
          <w:lang w:val="sq-AL"/>
        </w:rPr>
        <w:t xml:space="preserve"> </w:t>
      </w:r>
      <w:r w:rsidRPr="00582729">
        <w:rPr>
          <w:rFonts w:ascii="Garamond" w:hAnsi="Garamond"/>
          <w:szCs w:val="24"/>
          <w:lang w:val="sq-AL"/>
        </w:rPr>
        <w:br/>
        <w:t xml:space="preserve">dhe Viktoriya Maradudina, </w:t>
      </w:r>
      <w:r w:rsidR="00582729" w:rsidRPr="00582729">
        <w:rPr>
          <w:rFonts w:ascii="Garamond" w:hAnsi="Garamond"/>
          <w:i/>
          <w:iCs/>
          <w:szCs w:val="24"/>
          <w:lang w:val="sq-AL"/>
        </w:rPr>
        <w:t xml:space="preserve">zëvendëssekretare </w:t>
      </w:r>
      <w:r w:rsidRPr="00582729">
        <w:rPr>
          <w:rFonts w:ascii="Garamond" w:hAnsi="Garamond"/>
          <w:i/>
          <w:iCs/>
          <w:szCs w:val="24"/>
          <w:lang w:val="sq-AL"/>
        </w:rPr>
        <w:t>e</w:t>
      </w:r>
      <w:r w:rsidR="00B0313E">
        <w:rPr>
          <w:rFonts w:ascii="Garamond" w:hAnsi="Garamond"/>
          <w:i/>
          <w:iCs/>
          <w:szCs w:val="24"/>
          <w:lang w:val="sq-AL"/>
        </w:rPr>
        <w:t xml:space="preserve"> </w:t>
      </w:r>
      <w:r w:rsidRPr="00582729">
        <w:rPr>
          <w:rFonts w:ascii="Garamond" w:hAnsi="Garamond"/>
          <w:i/>
          <w:szCs w:val="24"/>
          <w:lang w:val="sq-AL"/>
        </w:rPr>
        <w:t>Përkohshme e Seksionit,</w:t>
      </w:r>
      <w:r w:rsidRPr="00582729">
        <w:rPr>
          <w:rFonts w:ascii="Garamond" w:hAnsi="Garamond"/>
          <w:iCs/>
          <w:szCs w:val="24"/>
          <w:lang w:val="sq-AL"/>
        </w:rPr>
        <w:t xml:space="preserve"> </w:t>
      </w:r>
    </w:p>
    <w:p w14:paraId="7DEA57E3" w14:textId="514C05B0" w:rsidR="00B82D54" w:rsidRPr="00582729" w:rsidRDefault="00B82D54" w:rsidP="00B82D54">
      <w:pPr>
        <w:pStyle w:val="ECHRPara"/>
        <w:rPr>
          <w:rFonts w:ascii="Garamond" w:hAnsi="Garamond"/>
          <w:szCs w:val="24"/>
          <w:lang w:val="sq-AL"/>
        </w:rPr>
      </w:pPr>
      <w:r w:rsidRPr="00582729">
        <w:rPr>
          <w:rFonts w:ascii="Garamond" w:hAnsi="Garamond"/>
          <w:szCs w:val="24"/>
          <w:lang w:val="sq-AL"/>
        </w:rPr>
        <w:t xml:space="preserve">Pasi diskutoi me dyer të mbyllura më datë 29 </w:t>
      </w:r>
      <w:r w:rsidR="00582729">
        <w:rPr>
          <w:rFonts w:ascii="Garamond" w:hAnsi="Garamond"/>
          <w:szCs w:val="24"/>
          <w:lang w:val="sq-AL"/>
        </w:rPr>
        <w:t>q</w:t>
      </w:r>
      <w:r w:rsidRPr="00582729">
        <w:rPr>
          <w:rFonts w:ascii="Garamond" w:hAnsi="Garamond"/>
          <w:szCs w:val="24"/>
          <w:lang w:val="sq-AL"/>
        </w:rPr>
        <w:t>ershor 2023,</w:t>
      </w:r>
    </w:p>
    <w:p w14:paraId="223A8F56" w14:textId="77777777" w:rsidR="00B82D54" w:rsidRPr="00582729" w:rsidRDefault="00B82D54" w:rsidP="00B82D54">
      <w:pPr>
        <w:pStyle w:val="ECHRPara"/>
        <w:rPr>
          <w:rFonts w:ascii="Garamond" w:hAnsi="Garamond"/>
          <w:szCs w:val="24"/>
          <w:lang w:val="sq-AL"/>
        </w:rPr>
      </w:pPr>
      <w:r w:rsidRPr="00582729">
        <w:rPr>
          <w:rFonts w:ascii="Garamond" w:hAnsi="Garamond"/>
          <w:szCs w:val="24"/>
          <w:lang w:val="sq-AL"/>
        </w:rPr>
        <w:t>Shpall vendimin e mëposhtëm, i cili u miratua në po atë datë:</w:t>
      </w:r>
    </w:p>
    <w:p w14:paraId="3B999110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PROCEDURA</w:t>
      </w:r>
    </w:p>
    <w:p w14:paraId="0D5EDCD8" w14:textId="3E66C32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1. Çështja nisi me një kërkesë kundër Shqipërisë depozituar në Gjykatë</w:t>
      </w:r>
      <w:r w:rsidR="00582729">
        <w:rPr>
          <w:rFonts w:ascii="Garamond" w:hAnsi="Garamond"/>
          <w:sz w:val="24"/>
          <w:szCs w:val="24"/>
          <w:lang w:val="sq-AL"/>
        </w:rPr>
        <w:t>,</w:t>
      </w:r>
      <w:r w:rsidRPr="00582729">
        <w:rPr>
          <w:rFonts w:ascii="Garamond" w:hAnsi="Garamond"/>
          <w:sz w:val="24"/>
          <w:szCs w:val="24"/>
          <w:lang w:val="sq-AL"/>
        </w:rPr>
        <w:t xml:space="preserve"> në mbështetje të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enit 34 të Konventës për Mbrojtjen e të Drejtave të Njeriut dhe Lirive Themelore (“Konventa”) më 15 </w:t>
      </w:r>
      <w:r w:rsidR="00582729">
        <w:rPr>
          <w:rFonts w:ascii="Garamond" w:hAnsi="Garamond"/>
          <w:sz w:val="24"/>
          <w:szCs w:val="24"/>
          <w:lang w:val="sq-AL"/>
        </w:rPr>
        <w:t>j</w:t>
      </w:r>
      <w:r w:rsidRPr="00582729">
        <w:rPr>
          <w:rFonts w:ascii="Garamond" w:hAnsi="Garamond"/>
          <w:sz w:val="24"/>
          <w:szCs w:val="24"/>
          <w:lang w:val="sq-AL"/>
        </w:rPr>
        <w:t xml:space="preserve">anar 2011. </w:t>
      </w:r>
    </w:p>
    <w:p w14:paraId="0B4B0FA2" w14:textId="21341B13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2. Qeveria shqiptare (“Qeveria”) u njoftua mbi kërkesën në mbështetje të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enit 6 § 1 të Konventës, në lidhje me pretendimin për kohëzgjatjen e tepërt të procesit, sipas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enit 13 të Konventës për mungesën e një mjeti efektiv për të adresuar kohëzgjatjen e procesit, si edhe në mbështetje të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enit 1 të Protokollit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r. 1 për një shkelje të të drejtave të kërkuesit mbi pronën. </w:t>
      </w:r>
    </w:p>
    <w:p w14:paraId="59A36010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FAKTET</w:t>
      </w:r>
    </w:p>
    <w:p w14:paraId="6BA93813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3. Detajet e kërkuesit dhe informacioni që ka lidhje me kërkesën paraqiten në tabelën bashkëlidhur. </w:t>
      </w:r>
    </w:p>
    <w:p w14:paraId="55D9312E" w14:textId="535B6F6A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4. Kërkuesi u ankua për kohëzgjatje të tepërt të procedurave civile, duke përfshirë ato në Gjykatën e Lartë, sipas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>en</w:t>
      </w:r>
      <w:r w:rsidR="00582729">
        <w:rPr>
          <w:rFonts w:ascii="Garamond" w:hAnsi="Garamond"/>
          <w:sz w:val="24"/>
          <w:szCs w:val="24"/>
          <w:lang w:val="sq-AL"/>
        </w:rPr>
        <w:t>it</w:t>
      </w:r>
      <w:r w:rsidRPr="00582729">
        <w:rPr>
          <w:rFonts w:ascii="Garamond" w:hAnsi="Garamond"/>
          <w:sz w:val="24"/>
          <w:szCs w:val="24"/>
          <w:lang w:val="sq-AL"/>
        </w:rPr>
        <w:t xml:space="preserve"> 6 §1 të Konventës. Kërkuesi paraqiti edhe ankesa të tjera në mbështetje të Konventës. </w:t>
      </w:r>
    </w:p>
    <w:p w14:paraId="08408A5B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LIGJI</w:t>
      </w:r>
    </w:p>
    <w:p w14:paraId="2F0873F7" w14:textId="75CE10EB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I. PRETENDIMI PËR SHKLEJE TË NENIT 6 §1 TË KONVENTËS</w:t>
      </w:r>
    </w:p>
    <w:p w14:paraId="72559954" w14:textId="1ED699DF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5. Kërkuesi u ankua kryesisht se kohëzgjatja e procesit civil konkret nuk ishte në përputhje me kërkesën për “afat të arsyeshëm” (për më shumë detaje shih tabelën bashkëlidhur). Ai u mbështet në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>enin 6 §1 të Konventës.</w:t>
      </w:r>
    </w:p>
    <w:p w14:paraId="58E81A1C" w14:textId="4097DE58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6. Gjykata thekson se arsyeshmëria e kohëzgjatjes së procesit duhet të vlerësohet në mbështetje të rrethanave të çështjes dhe duke iu referuar kritereve në vijim: kompleksiteti i çështjes, sjellja e kërkuesit dhe e autoriteteve përkatëse, dhe se çfarë ishte në rrezik për kërkuesin në mosmarrëveshje (shih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Frydlender kundër Francës</w:t>
      </w:r>
      <w:r w:rsidRPr="00582729">
        <w:rPr>
          <w:rFonts w:ascii="Garamond" w:hAnsi="Garamond"/>
          <w:sz w:val="24"/>
          <w:szCs w:val="24"/>
          <w:lang w:val="sq-AL"/>
        </w:rPr>
        <w:t xml:space="preserve"> [DHM], nr. 30979/96, §43, GJEDNJ 2000-VII,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 xml:space="preserve">Gazsó kundër Hungarisë, </w:t>
      </w:r>
      <w:r w:rsidRPr="00582729">
        <w:rPr>
          <w:rFonts w:ascii="Garamond" w:hAnsi="Garamond"/>
          <w:sz w:val="24"/>
          <w:szCs w:val="24"/>
          <w:lang w:val="sq-AL"/>
        </w:rPr>
        <w:t xml:space="preserve">nr. 48322/12, § 15, 16 </w:t>
      </w:r>
      <w:r w:rsidR="00582729">
        <w:rPr>
          <w:rFonts w:ascii="Garamond" w:hAnsi="Garamond"/>
          <w:sz w:val="24"/>
          <w:szCs w:val="24"/>
          <w:lang w:val="sq-AL"/>
        </w:rPr>
        <w:t>k</w:t>
      </w:r>
      <w:r w:rsidRPr="00582729">
        <w:rPr>
          <w:rFonts w:ascii="Garamond" w:hAnsi="Garamond"/>
          <w:sz w:val="24"/>
          <w:szCs w:val="24"/>
          <w:lang w:val="sq-AL"/>
        </w:rPr>
        <w:t xml:space="preserve">orrik 2015; dhe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Topallaj kundër Shqipërisë</w:t>
      </w:r>
      <w:r w:rsidRPr="00582729">
        <w:rPr>
          <w:rFonts w:ascii="Garamond" w:hAnsi="Garamond"/>
          <w:sz w:val="24"/>
          <w:szCs w:val="24"/>
          <w:lang w:val="sq-AL"/>
        </w:rPr>
        <w:t xml:space="preserve">, nr. 32913/03, § 75, 21 </w:t>
      </w:r>
      <w:r w:rsidR="00582729">
        <w:rPr>
          <w:rFonts w:ascii="Garamond" w:hAnsi="Garamond"/>
          <w:sz w:val="24"/>
          <w:szCs w:val="24"/>
          <w:lang w:val="sq-AL"/>
        </w:rPr>
        <w:t>p</w:t>
      </w:r>
      <w:r w:rsidRPr="00582729">
        <w:rPr>
          <w:rFonts w:ascii="Garamond" w:hAnsi="Garamond"/>
          <w:sz w:val="24"/>
          <w:szCs w:val="24"/>
          <w:lang w:val="sq-AL"/>
        </w:rPr>
        <w:t xml:space="preserve">rill 2016). </w:t>
      </w:r>
    </w:p>
    <w:p w14:paraId="5B3E81E8" w14:textId="46BD15AF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7. Në çështjet kryesuese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Luli dhe të Tjerë kundër Shqipërisë</w:t>
      </w:r>
      <w:r w:rsidRPr="00582729">
        <w:rPr>
          <w:rFonts w:ascii="Garamond" w:hAnsi="Garamond"/>
          <w:sz w:val="24"/>
          <w:szCs w:val="24"/>
          <w:lang w:val="sq-AL"/>
        </w:rPr>
        <w:t xml:space="preserve">, nr. 64480/09 dhe 5 të tjerë, 1 </w:t>
      </w:r>
      <w:r w:rsidR="00582729">
        <w:rPr>
          <w:rFonts w:ascii="Garamond" w:hAnsi="Garamond"/>
          <w:sz w:val="24"/>
          <w:szCs w:val="24"/>
          <w:lang w:val="sq-AL"/>
        </w:rPr>
        <w:t>p</w:t>
      </w:r>
      <w:r w:rsidRPr="00582729">
        <w:rPr>
          <w:rFonts w:ascii="Garamond" w:hAnsi="Garamond"/>
          <w:sz w:val="24"/>
          <w:szCs w:val="24"/>
          <w:lang w:val="sq-AL"/>
        </w:rPr>
        <w:t xml:space="preserve">rill 2014, dhe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Mishgjoni kundër Shqipërisë</w:t>
      </w:r>
      <w:r w:rsidRPr="00582729">
        <w:rPr>
          <w:rFonts w:ascii="Garamond" w:hAnsi="Garamond"/>
          <w:sz w:val="24"/>
          <w:szCs w:val="24"/>
          <w:lang w:val="sq-AL"/>
        </w:rPr>
        <w:t xml:space="preserve">, nr. 18381/05, 7 </w:t>
      </w:r>
      <w:r w:rsidR="00582729">
        <w:rPr>
          <w:rFonts w:ascii="Garamond" w:hAnsi="Garamond"/>
          <w:sz w:val="24"/>
          <w:szCs w:val="24"/>
          <w:lang w:val="sq-AL"/>
        </w:rPr>
        <w:t>d</w:t>
      </w:r>
      <w:r w:rsidRPr="00582729">
        <w:rPr>
          <w:rFonts w:ascii="Garamond" w:hAnsi="Garamond"/>
          <w:sz w:val="24"/>
          <w:szCs w:val="24"/>
          <w:lang w:val="sq-AL"/>
        </w:rPr>
        <w:t xml:space="preserve">hjetor 2010, Gjykata tashmë ka konstatuar një shkelje në lidhje me aspekte të ngjashme në çështjen konkrete. </w:t>
      </w:r>
    </w:p>
    <w:p w14:paraId="080A840A" w14:textId="5EF5BE3A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lastRenderedPageBreak/>
        <w:t>8. Pasi shqyrtoi të gjithë materialin e paraqitur pranë saj, Gjykata nuk ka gjetur fakte apo argumente që mund të justifikojnë kohëzgjatjen e përgjithshme të procesit në nivel kombëtar. Mbështetur me praktikën e saj gjyqësore në lidhje me çështjen, Gjykata konstaton se në çështjen konkrete kohëzgjatja e procesit ishte e tepërt dhe nuk përmbushte kërkesën për “afat të arsyeshëm”.</w:t>
      </w:r>
    </w:p>
    <w:p w14:paraId="1678368C" w14:textId="4DB20FE2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9. Për këtë arsye, kjo ankesë është e pranueshme dhe konstatohet shkelje e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enit 6 §1 të Konventës. </w:t>
      </w:r>
    </w:p>
    <w:p w14:paraId="1CD15434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II. PRETENDIME PËR SHKELJE TË TJERA SIPAS PRAKTIKËS GJYQËSORE TË KONSOLIDUAR</w:t>
      </w:r>
    </w:p>
    <w:p w14:paraId="25982356" w14:textId="35AC6F28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10. Kërkuesi u ankua edhe në mbështetje të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>enit 13 të Konventës për mungesë të mjeteve të brendshme në lidhje me ankesën e tij për kohëzgjatjen e procesit. Duke mbajtur në konsideratë faktet e çështjes, parashtrimet e palëve dhe konstatimet e saj në paragrafin 9 më sipër, Gjykata vlerëson se ka shqyrtuar çështjen kryesore ligjore në kërkesën konkrete. Ajo konstaton se nuk është e nevojshme që të jepet një vendim i veçantë për këtë kërkesë (shih</w:t>
      </w:r>
      <w:r w:rsidR="00582729">
        <w:rPr>
          <w:rFonts w:ascii="Garamond" w:hAnsi="Garamond"/>
          <w:sz w:val="24"/>
          <w:szCs w:val="24"/>
          <w:lang w:val="sq-AL"/>
        </w:rPr>
        <w:t>:</w:t>
      </w:r>
      <w:r w:rsidRPr="00582729">
        <w:rPr>
          <w:rFonts w:ascii="Garamond" w:hAnsi="Garamond"/>
          <w:sz w:val="24"/>
          <w:szCs w:val="24"/>
          <w:lang w:val="sq-AL"/>
        </w:rPr>
        <w:t xml:space="preserve">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 xml:space="preserve">Qendra për Burimet Ligjore në emër të Valentin Câmpeanu kundër Rumanisë </w:t>
      </w:r>
      <w:r w:rsidRPr="00582729">
        <w:rPr>
          <w:rFonts w:ascii="Garamond" w:hAnsi="Garamond"/>
          <w:sz w:val="24"/>
          <w:szCs w:val="24"/>
          <w:lang w:val="sq-AL"/>
        </w:rPr>
        <w:t xml:space="preserve">[DHM], nr. 47848/08, § 156, GJEDNJ 2014, dhe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 xml:space="preserve">Habilaj kundër Shqipërisë </w:t>
      </w:r>
      <w:r w:rsidRPr="00582729">
        <w:rPr>
          <w:rFonts w:ascii="Garamond" w:hAnsi="Garamond"/>
          <w:sz w:val="24"/>
          <w:szCs w:val="24"/>
          <w:lang w:val="sq-AL"/>
        </w:rPr>
        <w:t xml:space="preserve">[Komiteti], nr. 2480/10, § 14, 15 </w:t>
      </w:r>
      <w:r w:rsidR="00582729">
        <w:rPr>
          <w:rFonts w:ascii="Garamond" w:hAnsi="Garamond"/>
          <w:sz w:val="24"/>
          <w:szCs w:val="24"/>
          <w:lang w:val="sq-AL"/>
        </w:rPr>
        <w:t>s</w:t>
      </w:r>
      <w:r w:rsidRPr="00582729">
        <w:rPr>
          <w:rFonts w:ascii="Garamond" w:hAnsi="Garamond"/>
          <w:sz w:val="24"/>
          <w:szCs w:val="24"/>
          <w:lang w:val="sq-AL"/>
        </w:rPr>
        <w:t xml:space="preserve">htator 2022). </w:t>
      </w:r>
    </w:p>
    <w:p w14:paraId="589068EA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III. ANKESAT E TJERA</w:t>
      </w:r>
    </w:p>
    <w:p w14:paraId="3715CE92" w14:textId="1C61CF19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11. Kërkuesi u ankua edhe në mbështetje të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>enit 1</w:t>
      </w:r>
      <w:r w:rsidR="00582729">
        <w:rPr>
          <w:rFonts w:ascii="Garamond" w:hAnsi="Garamond"/>
          <w:sz w:val="24"/>
          <w:szCs w:val="24"/>
          <w:lang w:val="sq-AL"/>
        </w:rPr>
        <w:t>,</w:t>
      </w:r>
      <w:r w:rsidRPr="00582729">
        <w:rPr>
          <w:rFonts w:ascii="Garamond" w:hAnsi="Garamond"/>
          <w:sz w:val="24"/>
          <w:szCs w:val="24"/>
          <w:lang w:val="sq-AL"/>
        </w:rPr>
        <w:t xml:space="preserve"> të Protokollit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>r. 1</w:t>
      </w:r>
      <w:r w:rsidR="00582729">
        <w:rPr>
          <w:rFonts w:ascii="Garamond" w:hAnsi="Garamond"/>
          <w:sz w:val="24"/>
          <w:szCs w:val="24"/>
          <w:lang w:val="sq-AL"/>
        </w:rPr>
        <w:t>,</w:t>
      </w:r>
      <w:r w:rsidRPr="00582729">
        <w:rPr>
          <w:rFonts w:ascii="Garamond" w:hAnsi="Garamond"/>
          <w:sz w:val="24"/>
          <w:szCs w:val="24"/>
          <w:lang w:val="sq-AL"/>
        </w:rPr>
        <w:t xml:space="preserve"> në lidhje me legalizimin e ndërtimeve të paligjshme të palëve të treta në pronën e kërkuesit.</w:t>
      </w:r>
    </w:p>
    <w:p w14:paraId="5AA290A7" w14:textId="0360E555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12. Gjykata thekson parimet që udhëheqin statusin e viktimës së një kërkuesi. Një vendim apo masë e favorshme për një kërkues në parim nuk është mjaftueshëm për të privuar kërkuesin nga statusi i tij apo i saj si “viktimë” nëse autoritetet vendase nuk kanë njohur shprehimisht apo në thelb, dhe më pas të kenë ofruar korrigjim për, shkeljen e Konventës (shih</w:t>
      </w:r>
      <w:r w:rsidR="00582729">
        <w:rPr>
          <w:rFonts w:ascii="Garamond" w:hAnsi="Garamond"/>
          <w:sz w:val="24"/>
          <w:szCs w:val="24"/>
          <w:lang w:val="sq-AL"/>
        </w:rPr>
        <w:t>:</w:t>
      </w:r>
      <w:r w:rsidRPr="00582729">
        <w:rPr>
          <w:rFonts w:ascii="Garamond" w:hAnsi="Garamond"/>
          <w:sz w:val="24"/>
          <w:szCs w:val="24"/>
          <w:lang w:val="sq-AL"/>
        </w:rPr>
        <w:t xml:space="preserve">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 xml:space="preserve">Murray kundër Holandës </w:t>
      </w:r>
      <w:r w:rsidRPr="00582729">
        <w:rPr>
          <w:rFonts w:ascii="Garamond" w:hAnsi="Garamond"/>
          <w:sz w:val="24"/>
          <w:szCs w:val="24"/>
          <w:lang w:val="sq-AL"/>
        </w:rPr>
        <w:t xml:space="preserve">[DHM], nr. 10511/10, § 41, 26 </w:t>
      </w:r>
      <w:r w:rsidR="00582729">
        <w:rPr>
          <w:rFonts w:ascii="Garamond" w:hAnsi="Garamond"/>
          <w:sz w:val="24"/>
          <w:szCs w:val="24"/>
          <w:lang w:val="sq-AL"/>
        </w:rPr>
        <w:t>p</w:t>
      </w:r>
      <w:r w:rsidRPr="00582729">
        <w:rPr>
          <w:rFonts w:ascii="Garamond" w:hAnsi="Garamond"/>
          <w:sz w:val="24"/>
          <w:szCs w:val="24"/>
          <w:lang w:val="sq-AL"/>
        </w:rPr>
        <w:t xml:space="preserve">rill 2016, dhe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Nada kundër Zvicrës</w:t>
      </w:r>
      <w:r w:rsidRPr="00582729">
        <w:rPr>
          <w:rFonts w:ascii="Garamond" w:hAnsi="Garamond"/>
          <w:sz w:val="24"/>
          <w:szCs w:val="24"/>
          <w:lang w:val="sq-AL"/>
        </w:rPr>
        <w:t xml:space="preserve"> [DHM], nr. 10593/08, § 128, GJEDNJ 2012). Njohja dhe korrigjimi shpesh vijnë si rezultat i shterimit të mjeteve vendase (shih</w:t>
      </w:r>
      <w:r w:rsidR="00582729">
        <w:rPr>
          <w:rFonts w:ascii="Garamond" w:hAnsi="Garamond"/>
          <w:sz w:val="24"/>
          <w:szCs w:val="24"/>
          <w:lang w:val="sq-AL"/>
        </w:rPr>
        <w:t>:</w:t>
      </w:r>
      <w:r w:rsidRPr="00582729">
        <w:rPr>
          <w:rFonts w:ascii="Garamond" w:hAnsi="Garamond"/>
          <w:sz w:val="24"/>
          <w:szCs w:val="24"/>
          <w:lang w:val="sq-AL"/>
        </w:rPr>
        <w:t xml:space="preserve">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Staykov kundër Bullgarisë</w:t>
      </w:r>
      <w:r w:rsidRPr="00582729">
        <w:rPr>
          <w:rFonts w:ascii="Garamond" w:hAnsi="Garamond"/>
          <w:sz w:val="24"/>
          <w:szCs w:val="24"/>
          <w:lang w:val="sq-AL"/>
        </w:rPr>
        <w:t xml:space="preserve">, nr. 49438/99, §89, 12 </w:t>
      </w:r>
      <w:r w:rsidR="00582729">
        <w:rPr>
          <w:rFonts w:ascii="Garamond" w:hAnsi="Garamond"/>
          <w:sz w:val="24"/>
          <w:szCs w:val="24"/>
          <w:lang w:val="sq-AL"/>
        </w:rPr>
        <w:t>t</w:t>
      </w:r>
      <w:r w:rsidRPr="00582729">
        <w:rPr>
          <w:rFonts w:ascii="Garamond" w:hAnsi="Garamond"/>
          <w:sz w:val="24"/>
          <w:szCs w:val="24"/>
          <w:lang w:val="sq-AL"/>
        </w:rPr>
        <w:t xml:space="preserve">etor 2006, dhe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C dhe D kundër Kroacisë</w:t>
      </w:r>
      <w:r w:rsidRPr="00582729">
        <w:rPr>
          <w:rFonts w:ascii="Garamond" w:hAnsi="Garamond"/>
          <w:sz w:val="24"/>
          <w:szCs w:val="24"/>
          <w:lang w:val="sq-AL"/>
        </w:rPr>
        <w:t xml:space="preserve"> (vendim), nr. 43317/07, 14 </w:t>
      </w:r>
      <w:r w:rsidR="00582729">
        <w:rPr>
          <w:rFonts w:ascii="Garamond" w:hAnsi="Garamond"/>
          <w:sz w:val="24"/>
          <w:szCs w:val="24"/>
          <w:lang w:val="sq-AL"/>
        </w:rPr>
        <w:t>t</w:t>
      </w:r>
      <w:r w:rsidRPr="00582729">
        <w:rPr>
          <w:rFonts w:ascii="Garamond" w:hAnsi="Garamond"/>
          <w:sz w:val="24"/>
          <w:szCs w:val="24"/>
          <w:lang w:val="sq-AL"/>
        </w:rPr>
        <w:t xml:space="preserve">etor 2010). </w:t>
      </w:r>
    </w:p>
    <w:p w14:paraId="299439CD" w14:textId="374AABC5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13. Duke u kthyer tek rrethanat e çështjes konkrete, Gjykata konstaton se kërkuesi depozitoi kërkesën e tij pranë Gjykatës teksa procesi vendas ishte ende në vijim. Ndërkohë, gjykatat vendase kishin njohur pronësinë e kërkuesit ndaj truallit dhe i kishin akorduar kompensim në shumën prej 3,135,000 lekë. Kërkuesi nuk u ankua për shumën e kompensimit të akorduar dhe nuk u ankua as për faktin se në vend të prishjes së ndërtimeve pa leje i ishte akorduar kompensim.</w:t>
      </w:r>
    </w:p>
    <w:p w14:paraId="367A2CDD" w14:textId="45220690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14. Gjykata thekson se në rastin kur kërkuesi pranon një shumë kompensimi si zgjidhje për një padi civile dhe heq dorë nga përdorimi i mëtejshëm i mjeteve vendase, ai ose ajo, përgjithësisht, nuk ka më mundësinë që të pretendojë të jetë viktimë në lidhje me këto çështje (shih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mutatis mutandis</w:t>
      </w:r>
      <w:r w:rsidRPr="00582729">
        <w:rPr>
          <w:rFonts w:ascii="Garamond" w:hAnsi="Garamond"/>
          <w:sz w:val="24"/>
          <w:szCs w:val="24"/>
          <w:lang w:val="sq-AL"/>
        </w:rPr>
        <w:t xml:space="preserve">,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Powell kundër Mbretërisë së Bashkuar</w:t>
      </w:r>
      <w:r w:rsidRPr="00582729">
        <w:rPr>
          <w:rFonts w:ascii="Garamond" w:hAnsi="Garamond"/>
          <w:sz w:val="24"/>
          <w:szCs w:val="24"/>
          <w:lang w:val="sq-AL"/>
        </w:rPr>
        <w:t xml:space="preserve"> (vendim), nr. 45305/99, GJEDNJ 2000 V). </w:t>
      </w:r>
    </w:p>
    <w:p w14:paraId="0817E764" w14:textId="6CDD632E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15. Gjykata thekson se njohja e të drejtave të pronësisë së një kërkuesi është e barabartë me njohjen e një shkelje. Kërkuesit i është akorduar edhe kompensimi i përshtatshëm për të cilin ai nuk u ankua. Për këtë arsye, ai nuk mund të konsiderohet më viktimë e shkeljes së pretenduar. Rrjedhimisht, kjo ankesë duhet të rrëzohet në përputhje me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>enin 35 §§3 (a) dhe 4 të Konventës.</w:t>
      </w:r>
    </w:p>
    <w:p w14:paraId="18149749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IV. ZBATIMI I NENIT 41 TË KONVENTËS</w:t>
      </w:r>
    </w:p>
    <w:p w14:paraId="68FC8895" w14:textId="0432CC8F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16. Neni 41 i Konventës parashikon:</w:t>
      </w:r>
    </w:p>
    <w:p w14:paraId="3B10BDC1" w14:textId="2BDE2C58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 “Kur Gjykata konstaton se ka pasur një shkelje të Konventës ose të protokolleve të saj dhe, nëse e drejta e brendshme e Palës së Lartë Kontraktuese lejon të bëhet vetëm një ndreqje e pjesshme, Gjykata, kur është e nevojshme, i akordon shpërblim të drejtë palës së dëmtuar.”</w:t>
      </w:r>
      <w:r w:rsidR="00582729">
        <w:rPr>
          <w:rFonts w:ascii="Garamond" w:hAnsi="Garamond"/>
          <w:sz w:val="24"/>
          <w:szCs w:val="24"/>
          <w:lang w:val="sq-AL"/>
        </w:rPr>
        <w:t>.</w:t>
      </w:r>
    </w:p>
    <w:p w14:paraId="0C4C7819" w14:textId="1948F163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17. Për sa i përket dokumenteve në zotërimin e saj dhe praktikës së saj gjyqësore (shih veçanërisht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Luli dhe të Tjerë</w:t>
      </w:r>
      <w:r w:rsidRPr="00582729">
        <w:rPr>
          <w:rFonts w:ascii="Garamond" w:hAnsi="Garamond"/>
          <w:sz w:val="24"/>
          <w:szCs w:val="24"/>
          <w:lang w:val="sq-AL"/>
        </w:rPr>
        <w:t xml:space="preserve">, cituar më sipër, dhe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Mishgjoni</w:t>
      </w:r>
      <w:r w:rsidRPr="00582729">
        <w:rPr>
          <w:rFonts w:ascii="Garamond" w:hAnsi="Garamond"/>
          <w:sz w:val="24"/>
          <w:szCs w:val="24"/>
          <w:lang w:val="sq-AL"/>
        </w:rPr>
        <w:t>, gjithashtu cituar më sipër), Gjykata e vlerëson të arsyeshme të akordoj</w:t>
      </w:r>
      <w:r w:rsidR="00582729">
        <w:rPr>
          <w:rFonts w:ascii="Garamond" w:hAnsi="Garamond"/>
          <w:sz w:val="24"/>
          <w:szCs w:val="24"/>
          <w:lang w:val="sq-AL"/>
        </w:rPr>
        <w:t>ë</w:t>
      </w:r>
      <w:r w:rsidRPr="00582729">
        <w:rPr>
          <w:rFonts w:ascii="Garamond" w:hAnsi="Garamond"/>
          <w:sz w:val="24"/>
          <w:szCs w:val="24"/>
          <w:lang w:val="sq-AL"/>
        </w:rPr>
        <w:t xml:space="preserve"> shumën në tabelën bashkëlidhur. </w:t>
      </w:r>
    </w:p>
    <w:p w14:paraId="6CA80888" w14:textId="77777777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PËR KËTO ARSYE, GJYKATA, NË MËNYRË UNANIME,</w:t>
      </w:r>
    </w:p>
    <w:p w14:paraId="055C451E" w14:textId="59A9D7E1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i/>
          <w:iCs/>
          <w:sz w:val="24"/>
          <w:szCs w:val="24"/>
          <w:lang w:val="sq-AL"/>
        </w:rPr>
        <w:lastRenderedPageBreak/>
        <w:t xml:space="preserve">1. E shpall </w:t>
      </w:r>
      <w:r w:rsidRPr="00582729">
        <w:rPr>
          <w:rFonts w:ascii="Garamond" w:hAnsi="Garamond"/>
          <w:sz w:val="24"/>
          <w:szCs w:val="24"/>
          <w:lang w:val="sq-AL"/>
        </w:rPr>
        <w:t xml:space="preserve">ankesën në lidhje me kohëzgjatjen e procesit në mbështetje të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enit 6 të Konventës, të pranueshme,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>konstaton</w:t>
      </w:r>
      <w:r w:rsidRPr="00582729">
        <w:rPr>
          <w:rFonts w:ascii="Garamond" w:hAnsi="Garamond"/>
          <w:sz w:val="24"/>
          <w:szCs w:val="24"/>
          <w:lang w:val="sq-AL"/>
        </w:rPr>
        <w:t xml:space="preserve"> se nuk është e </w:t>
      </w:r>
      <w:r w:rsidRPr="008B2BBC">
        <w:rPr>
          <w:rFonts w:ascii="Garamond" w:hAnsi="Garamond"/>
          <w:sz w:val="24"/>
          <w:szCs w:val="24"/>
          <w:lang w:val="sq-AL"/>
        </w:rPr>
        <w:t>nevojshme që kërkesa të shqyrtohet veçantë</w:t>
      </w:r>
      <w:r w:rsidRPr="00582729">
        <w:rPr>
          <w:rFonts w:ascii="Garamond" w:hAnsi="Garamond"/>
          <w:sz w:val="24"/>
          <w:szCs w:val="24"/>
          <w:lang w:val="sq-AL"/>
        </w:rPr>
        <w:t xml:space="preserve"> në mbështetje të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enit 13 të Konventës, dhe </w:t>
      </w:r>
      <w:r w:rsidRPr="00582729">
        <w:rPr>
          <w:rFonts w:ascii="Garamond" w:hAnsi="Garamond"/>
          <w:i/>
          <w:iCs/>
          <w:sz w:val="24"/>
          <w:szCs w:val="24"/>
          <w:lang w:val="sq-AL"/>
        </w:rPr>
        <w:t xml:space="preserve">e shpall </w:t>
      </w:r>
      <w:r w:rsidRPr="00582729">
        <w:rPr>
          <w:rFonts w:ascii="Garamond" w:hAnsi="Garamond"/>
          <w:sz w:val="24"/>
          <w:szCs w:val="24"/>
          <w:lang w:val="sq-AL"/>
        </w:rPr>
        <w:t>pjesën tjetër të kërkesës të papranueshme;</w:t>
      </w:r>
    </w:p>
    <w:p w14:paraId="3FD43F2E" w14:textId="4915AE25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i/>
          <w:iCs/>
          <w:sz w:val="24"/>
          <w:szCs w:val="24"/>
          <w:lang w:val="sq-AL"/>
        </w:rPr>
        <w:t xml:space="preserve">2. Gjykon </w:t>
      </w:r>
      <w:r w:rsidRPr="00582729">
        <w:rPr>
          <w:rFonts w:ascii="Garamond" w:hAnsi="Garamond"/>
          <w:sz w:val="24"/>
          <w:szCs w:val="24"/>
          <w:lang w:val="sq-AL"/>
        </w:rPr>
        <w:t xml:space="preserve">se është shkelur </w:t>
      </w:r>
      <w:r w:rsidR="00582729">
        <w:rPr>
          <w:rFonts w:ascii="Garamond" w:hAnsi="Garamond"/>
          <w:sz w:val="24"/>
          <w:szCs w:val="24"/>
          <w:lang w:val="sq-AL"/>
        </w:rPr>
        <w:t>n</w:t>
      </w:r>
      <w:r w:rsidRPr="00582729">
        <w:rPr>
          <w:rFonts w:ascii="Garamond" w:hAnsi="Garamond"/>
          <w:sz w:val="24"/>
          <w:szCs w:val="24"/>
          <w:lang w:val="sq-AL"/>
        </w:rPr>
        <w:t xml:space="preserve">eni 6 §1 i Konventës në lidhje me kohëzgjatjen e tepërt të procesit civil; </w:t>
      </w:r>
    </w:p>
    <w:p w14:paraId="4C8892CA" w14:textId="5F5FE06D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i/>
          <w:iCs/>
          <w:sz w:val="24"/>
          <w:szCs w:val="24"/>
          <w:lang w:val="sq-AL"/>
        </w:rPr>
        <w:t>3. Gjykon</w:t>
      </w:r>
      <w:r w:rsidR="00582729">
        <w:rPr>
          <w:rFonts w:ascii="Garamond" w:hAnsi="Garamond"/>
          <w:i/>
          <w:iCs/>
          <w:sz w:val="24"/>
          <w:szCs w:val="24"/>
          <w:lang w:val="sq-AL"/>
        </w:rPr>
        <w:t>:</w:t>
      </w:r>
    </w:p>
    <w:p w14:paraId="2E742960" w14:textId="3738A46F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 xml:space="preserve">a) se </w:t>
      </w:r>
      <w:r w:rsidR="00582729">
        <w:rPr>
          <w:rFonts w:ascii="Garamond" w:hAnsi="Garamond"/>
          <w:sz w:val="24"/>
          <w:szCs w:val="24"/>
          <w:lang w:val="sq-AL"/>
        </w:rPr>
        <w:t>s</w:t>
      </w:r>
      <w:r w:rsidRPr="00582729">
        <w:rPr>
          <w:rFonts w:ascii="Garamond" w:hAnsi="Garamond"/>
          <w:sz w:val="24"/>
          <w:szCs w:val="24"/>
          <w:lang w:val="sq-AL"/>
        </w:rPr>
        <w:t xml:space="preserve">hteti përgjegjës duhet t’i paguajë kërkuesit, brenda tre muajve, shumën e përcaktuar në tabelën bashkëlidhur, e cila duhet të konvertohet në monedhën e </w:t>
      </w:r>
      <w:r w:rsidR="00582729">
        <w:rPr>
          <w:rFonts w:ascii="Garamond" w:hAnsi="Garamond"/>
          <w:sz w:val="24"/>
          <w:szCs w:val="24"/>
          <w:lang w:val="sq-AL"/>
        </w:rPr>
        <w:t>s</w:t>
      </w:r>
      <w:r w:rsidRPr="00582729">
        <w:rPr>
          <w:rFonts w:ascii="Garamond" w:hAnsi="Garamond"/>
          <w:sz w:val="24"/>
          <w:szCs w:val="24"/>
          <w:lang w:val="sq-AL"/>
        </w:rPr>
        <w:t xml:space="preserve">htetit përgjegjës në normën e zbatueshme në datën e shlyerjes; </w:t>
      </w:r>
    </w:p>
    <w:p w14:paraId="3964011F" w14:textId="412053B3" w:rsidR="00B82D54" w:rsidRPr="00582729" w:rsidRDefault="00B82D54" w:rsidP="00B82D54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582729">
        <w:rPr>
          <w:rFonts w:ascii="Garamond" w:hAnsi="Garamond"/>
          <w:sz w:val="24"/>
          <w:szCs w:val="24"/>
          <w:lang w:val="sq-AL"/>
        </w:rPr>
        <w:t>b)</w:t>
      </w:r>
      <w:r w:rsidR="00194B66" w:rsidRPr="00582729">
        <w:rPr>
          <w:rFonts w:ascii="Garamond" w:hAnsi="Garamond"/>
          <w:sz w:val="24"/>
          <w:szCs w:val="24"/>
          <w:lang w:val="sq-AL"/>
        </w:rPr>
        <w:t xml:space="preserve"> </w:t>
      </w:r>
      <w:r w:rsidRPr="00582729">
        <w:rPr>
          <w:rFonts w:ascii="Garamond" w:hAnsi="Garamond"/>
          <w:sz w:val="24"/>
          <w:szCs w:val="24"/>
          <w:lang w:val="sq-AL"/>
        </w:rPr>
        <w:t>se nga përfundimi i periudhës tremujore</w:t>
      </w:r>
      <w:r w:rsidR="00582729">
        <w:rPr>
          <w:rFonts w:ascii="Garamond" w:hAnsi="Garamond"/>
          <w:sz w:val="24"/>
          <w:szCs w:val="24"/>
          <w:lang w:val="sq-AL"/>
        </w:rPr>
        <w:t>,</w:t>
      </w:r>
      <w:r w:rsidRPr="00582729">
        <w:rPr>
          <w:rFonts w:ascii="Garamond" w:hAnsi="Garamond"/>
          <w:sz w:val="24"/>
          <w:szCs w:val="24"/>
          <w:lang w:val="sq-AL"/>
        </w:rPr>
        <w:t xml:space="preserve"> përmendur më sipër</w:t>
      </w:r>
      <w:r w:rsidR="00582729">
        <w:rPr>
          <w:rFonts w:ascii="Garamond" w:hAnsi="Garamond"/>
          <w:sz w:val="24"/>
          <w:szCs w:val="24"/>
          <w:lang w:val="sq-AL"/>
        </w:rPr>
        <w:t>,</w:t>
      </w:r>
      <w:r w:rsidRPr="00582729">
        <w:rPr>
          <w:rFonts w:ascii="Garamond" w:hAnsi="Garamond"/>
          <w:sz w:val="24"/>
          <w:szCs w:val="24"/>
          <w:lang w:val="sq-AL"/>
        </w:rPr>
        <w:t xml:space="preserve"> deri në shlyerje për shumat e mësipërme duhet të paguhet interes i thjeshtë në normën e barasvlershme me normën margjinale të huadhënies të Bankës Qendrore Evropiane gjatë periudhës së mospagesës plus tre pikë përqindje.</w:t>
      </w:r>
    </w:p>
    <w:p w14:paraId="4C8BD369" w14:textId="45EA5008" w:rsidR="00B82D54" w:rsidRPr="00582729" w:rsidRDefault="00B82D54" w:rsidP="00B82D54">
      <w:pPr>
        <w:pStyle w:val="ECHRPara"/>
        <w:rPr>
          <w:rFonts w:ascii="Garamond" w:hAnsi="Garamond"/>
          <w:bCs/>
          <w:szCs w:val="24"/>
          <w:lang w:val="sq-AL"/>
        </w:rPr>
      </w:pPr>
      <w:r w:rsidRPr="00582729">
        <w:rPr>
          <w:rFonts w:ascii="Garamond" w:hAnsi="Garamond"/>
          <w:bCs/>
          <w:szCs w:val="24"/>
          <w:lang w:val="sq-AL"/>
        </w:rPr>
        <w:t xml:space="preserve">Hartuar në gjuhën angleze dhe njoftuar me shkrim më datë 20 </w:t>
      </w:r>
      <w:r w:rsidR="00582729">
        <w:rPr>
          <w:rFonts w:ascii="Garamond" w:hAnsi="Garamond"/>
          <w:bCs/>
          <w:szCs w:val="24"/>
          <w:lang w:val="sq-AL"/>
        </w:rPr>
        <w:t>k</w:t>
      </w:r>
      <w:r w:rsidRPr="00582729">
        <w:rPr>
          <w:rFonts w:ascii="Garamond" w:hAnsi="Garamond"/>
          <w:bCs/>
          <w:szCs w:val="24"/>
          <w:lang w:val="sq-AL"/>
        </w:rPr>
        <w:t xml:space="preserve">orrik 2023, sipas </w:t>
      </w:r>
      <w:r w:rsidR="00582729">
        <w:rPr>
          <w:rFonts w:ascii="Garamond" w:hAnsi="Garamond"/>
          <w:bCs/>
          <w:szCs w:val="24"/>
          <w:lang w:val="sq-AL"/>
        </w:rPr>
        <w:t>r</w:t>
      </w:r>
      <w:r w:rsidRPr="00582729">
        <w:rPr>
          <w:rFonts w:ascii="Garamond" w:hAnsi="Garamond"/>
          <w:bCs/>
          <w:szCs w:val="24"/>
          <w:lang w:val="sq-AL"/>
        </w:rPr>
        <w:t>regullit 77 §§2 dhe 3 të Rregullores së Gjykatës.</w:t>
      </w:r>
    </w:p>
    <w:tbl>
      <w:tblPr>
        <w:tblStyle w:val="TableGrid"/>
        <w:tblpPr w:leftFromText="180" w:rightFromText="180" w:vertAnchor="text" w:horzAnchor="margin" w:tblpY="136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5"/>
        <w:gridCol w:w="3849"/>
      </w:tblGrid>
      <w:tr w:rsidR="00582729" w:rsidRPr="00582729" w14:paraId="644745FA" w14:textId="77777777" w:rsidTr="00582729">
        <w:trPr>
          <w:trHeight w:val="240"/>
        </w:trPr>
        <w:tc>
          <w:tcPr>
            <w:tcW w:w="5895" w:type="dxa"/>
          </w:tcPr>
          <w:p w14:paraId="7D6420EB" w14:textId="77777777" w:rsidR="00582729" w:rsidRPr="00582729" w:rsidRDefault="00582729" w:rsidP="00582729">
            <w:pPr>
              <w:pStyle w:val="ECHRPara"/>
              <w:ind w:firstLine="0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Viktoriya Maradudina</w:t>
            </w:r>
          </w:p>
        </w:tc>
        <w:tc>
          <w:tcPr>
            <w:tcW w:w="3849" w:type="dxa"/>
          </w:tcPr>
          <w:p w14:paraId="054FDFBF" w14:textId="77777777" w:rsidR="00582729" w:rsidRPr="00582729" w:rsidRDefault="00582729" w:rsidP="00582729">
            <w:pPr>
              <w:pStyle w:val="ECHRPara"/>
              <w:ind w:firstLine="0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Ioannis Ktistakis</w:t>
            </w:r>
          </w:p>
        </w:tc>
      </w:tr>
      <w:tr w:rsidR="00582729" w:rsidRPr="00582729" w14:paraId="170AF8E6" w14:textId="77777777" w:rsidTr="00582729">
        <w:trPr>
          <w:trHeight w:val="471"/>
        </w:trPr>
        <w:tc>
          <w:tcPr>
            <w:tcW w:w="5895" w:type="dxa"/>
          </w:tcPr>
          <w:p w14:paraId="4ACE6F93" w14:textId="5DF2FD66" w:rsidR="00582729" w:rsidRPr="00582729" w:rsidRDefault="00582729" w:rsidP="00582729">
            <w:pPr>
              <w:pStyle w:val="ECHRPara"/>
              <w:ind w:firstLine="0"/>
              <w:rPr>
                <w:rFonts w:ascii="Garamond" w:hAnsi="Garamond"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Cs/>
                <w:szCs w:val="24"/>
                <w:lang w:val="sq-AL"/>
              </w:rPr>
              <w:t>ZËVENDËSSEKRETARE E PËRKOHSHME</w:t>
            </w:r>
          </w:p>
        </w:tc>
        <w:tc>
          <w:tcPr>
            <w:tcW w:w="3849" w:type="dxa"/>
          </w:tcPr>
          <w:p w14:paraId="6C9B25ED" w14:textId="77777777" w:rsidR="00582729" w:rsidRPr="00582729" w:rsidRDefault="00582729" w:rsidP="00582729">
            <w:pPr>
              <w:pStyle w:val="ECHRPara"/>
              <w:ind w:firstLine="0"/>
              <w:rPr>
                <w:rFonts w:ascii="Garamond" w:hAnsi="Garamond"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Cs/>
                <w:szCs w:val="24"/>
                <w:lang w:val="sq-AL"/>
              </w:rPr>
              <w:t>KRYETAR</w:t>
            </w:r>
          </w:p>
        </w:tc>
      </w:tr>
    </w:tbl>
    <w:p w14:paraId="2B3A321F" w14:textId="77777777" w:rsidR="00B82D54" w:rsidRPr="00582729" w:rsidRDefault="00B82D54" w:rsidP="00B82D54">
      <w:pPr>
        <w:pStyle w:val="ECHRPara"/>
        <w:rPr>
          <w:rFonts w:ascii="Garamond" w:hAnsi="Garamond"/>
          <w:bCs/>
          <w:szCs w:val="24"/>
          <w:lang w:val="sq-AL"/>
        </w:rPr>
      </w:pPr>
    </w:p>
    <w:bookmarkEnd w:id="0"/>
    <w:p w14:paraId="17D488F5" w14:textId="77777777" w:rsidR="00194B66" w:rsidRPr="00582729" w:rsidRDefault="00194B66" w:rsidP="00B82D54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</w:rPr>
      </w:pPr>
    </w:p>
    <w:p w14:paraId="3732B9F4" w14:textId="77777777" w:rsidR="00582729" w:rsidRDefault="00582729" w:rsidP="00B82D54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</w:rPr>
      </w:pPr>
    </w:p>
    <w:p w14:paraId="228D3F7A" w14:textId="77777777" w:rsidR="00582729" w:rsidRDefault="00582729" w:rsidP="00B82D54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</w:rPr>
      </w:pPr>
    </w:p>
    <w:p w14:paraId="2C1D964D" w14:textId="3014A1BB" w:rsidR="00B82D54" w:rsidRPr="00582729" w:rsidRDefault="00B82D54" w:rsidP="00B82D54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</w:rPr>
      </w:pPr>
      <w:r w:rsidRPr="00582729">
        <w:rPr>
          <w:rFonts w:ascii="Garamond" w:hAnsi="Garamond"/>
          <w:bCs/>
          <w:sz w:val="24"/>
          <w:szCs w:val="24"/>
        </w:rPr>
        <w:t>SHTOJCË</w:t>
      </w:r>
    </w:p>
    <w:p w14:paraId="733A8231" w14:textId="3A55CC10" w:rsidR="00B82D54" w:rsidRPr="00C914F9" w:rsidRDefault="00C914F9" w:rsidP="00C4787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914F9">
        <w:rPr>
          <w:rFonts w:ascii="Garamond" w:hAnsi="Garamond"/>
          <w:sz w:val="24"/>
          <w:szCs w:val="24"/>
        </w:rPr>
        <w:t>KËRKESË ME ANË TË SË CILËS PARAQITET ANKESA SIPAS NENIT 6 § 1 TË KONVENTËS (KOHËZGJATJE E TEPËRT E PROCESIT CIVIL)</w:t>
      </w:r>
    </w:p>
    <w:p w14:paraId="26A198F9" w14:textId="77777777" w:rsidR="00B82D54" w:rsidRPr="00582729" w:rsidRDefault="00B82D54" w:rsidP="00B82D54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1890"/>
        <w:gridCol w:w="1854"/>
        <w:gridCol w:w="2014"/>
        <w:gridCol w:w="1353"/>
        <w:gridCol w:w="1710"/>
        <w:gridCol w:w="1884"/>
      </w:tblGrid>
      <w:tr w:rsidR="00B82D54" w:rsidRPr="00582729" w14:paraId="32D335F9" w14:textId="77777777" w:rsidTr="00B82D54">
        <w:trPr>
          <w:jc w:val="center"/>
        </w:trPr>
        <w:tc>
          <w:tcPr>
            <w:tcW w:w="1890" w:type="dxa"/>
            <w:vAlign w:val="center"/>
          </w:tcPr>
          <w:p w14:paraId="20765603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Kërkesa nr.</w:t>
            </w:r>
          </w:p>
          <w:p w14:paraId="76CE647D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Data e paraqitjes</w:t>
            </w:r>
          </w:p>
        </w:tc>
        <w:tc>
          <w:tcPr>
            <w:tcW w:w="1854" w:type="dxa"/>
            <w:vAlign w:val="center"/>
          </w:tcPr>
          <w:p w14:paraId="66F2007A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Emri i kërkuesit</w:t>
            </w:r>
          </w:p>
          <w:p w14:paraId="6D0925E7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Viti i lindjes</w:t>
            </w:r>
          </w:p>
        </w:tc>
        <w:tc>
          <w:tcPr>
            <w:tcW w:w="2014" w:type="dxa"/>
            <w:vAlign w:val="center"/>
          </w:tcPr>
          <w:p w14:paraId="13000A1A" w14:textId="77726CEB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 xml:space="preserve">Nisja e procesit ose data e hyrjes në fuqi </w:t>
            </w:r>
            <w:r w:rsidR="00C4787D">
              <w:rPr>
                <w:rFonts w:ascii="Garamond" w:hAnsi="Garamond"/>
                <w:b/>
                <w:bCs/>
                <w:szCs w:val="24"/>
                <w:lang w:val="sq-AL"/>
              </w:rPr>
              <w:t>të</w:t>
            </w: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Konventës për Shqipërinë (2 </w:t>
            </w:r>
            <w:r w:rsidR="00C4787D">
              <w:rPr>
                <w:rFonts w:ascii="Garamond" w:hAnsi="Garamond"/>
                <w:b/>
                <w:bCs/>
                <w:szCs w:val="24"/>
                <w:lang w:val="sq-AL"/>
              </w:rPr>
              <w:t>t</w:t>
            </w: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etor 1996)</w:t>
            </w:r>
          </w:p>
        </w:tc>
        <w:tc>
          <w:tcPr>
            <w:tcW w:w="1353" w:type="dxa"/>
            <w:vAlign w:val="center"/>
          </w:tcPr>
          <w:p w14:paraId="0390529A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Përfundimi i procesit</w:t>
            </w:r>
          </w:p>
        </w:tc>
        <w:tc>
          <w:tcPr>
            <w:tcW w:w="1710" w:type="dxa"/>
            <w:vAlign w:val="center"/>
          </w:tcPr>
          <w:p w14:paraId="52BD988A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Kohëzgjatja në total</w:t>
            </w:r>
          </w:p>
          <w:p w14:paraId="4E91C19F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Nivelet e juridiksionit</w:t>
            </w:r>
          </w:p>
        </w:tc>
        <w:tc>
          <w:tcPr>
            <w:tcW w:w="1884" w:type="dxa"/>
            <w:vAlign w:val="center"/>
          </w:tcPr>
          <w:p w14:paraId="48BDC249" w14:textId="420BE332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 xml:space="preserve">Shuma </w:t>
            </w:r>
            <w:r w:rsidR="00C4787D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 </w:t>
            </w: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akorduar për dëmin jopasuror për kërkues (në euro)</w:t>
            </w:r>
            <w:r w:rsidRPr="00582729">
              <w:rPr>
                <w:rStyle w:val="FootnoteReference"/>
                <w:rFonts w:ascii="Garamond" w:hAnsi="Garamond"/>
                <w:b/>
                <w:bCs/>
                <w:szCs w:val="24"/>
                <w:lang w:val="sq-AL"/>
              </w:rPr>
              <w:footnoteReference w:id="2"/>
            </w:r>
          </w:p>
        </w:tc>
      </w:tr>
      <w:tr w:rsidR="00B82D54" w:rsidRPr="00582729" w14:paraId="6F373A88" w14:textId="77777777" w:rsidTr="00B82D54">
        <w:trPr>
          <w:jc w:val="center"/>
        </w:trPr>
        <w:tc>
          <w:tcPr>
            <w:tcW w:w="1890" w:type="dxa"/>
            <w:vAlign w:val="center"/>
          </w:tcPr>
          <w:p w14:paraId="6BCA67EC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11254/11</w:t>
            </w:r>
          </w:p>
          <w:p w14:paraId="4F01BA1A" w14:textId="0BD07F54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15</w:t>
            </w:r>
            <w:r w:rsidR="00C4787D">
              <w:rPr>
                <w:rFonts w:ascii="Garamond" w:hAnsi="Garamond"/>
                <w:szCs w:val="24"/>
                <w:lang w:val="sq-AL"/>
              </w:rPr>
              <w:t>.</w:t>
            </w:r>
            <w:r w:rsidRPr="00582729">
              <w:rPr>
                <w:rFonts w:ascii="Garamond" w:hAnsi="Garamond"/>
                <w:szCs w:val="24"/>
                <w:lang w:val="sq-AL"/>
              </w:rPr>
              <w:t>1</w:t>
            </w:r>
            <w:r w:rsidR="00C4787D">
              <w:rPr>
                <w:rFonts w:ascii="Garamond" w:hAnsi="Garamond"/>
                <w:szCs w:val="24"/>
                <w:lang w:val="sq-AL"/>
              </w:rPr>
              <w:t>.</w:t>
            </w:r>
            <w:r w:rsidRPr="00582729">
              <w:rPr>
                <w:rFonts w:ascii="Garamond" w:hAnsi="Garamond"/>
                <w:szCs w:val="24"/>
                <w:lang w:val="sq-AL"/>
              </w:rPr>
              <w:t>2011</w:t>
            </w:r>
          </w:p>
        </w:tc>
        <w:tc>
          <w:tcPr>
            <w:tcW w:w="1854" w:type="dxa"/>
            <w:vAlign w:val="center"/>
          </w:tcPr>
          <w:p w14:paraId="104D4A8B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582729">
              <w:rPr>
                <w:rFonts w:ascii="Garamond" w:hAnsi="Garamond"/>
                <w:b/>
                <w:bCs/>
                <w:szCs w:val="24"/>
                <w:lang w:val="sq-AL"/>
              </w:rPr>
              <w:t>Frederik HAMITAJ</w:t>
            </w:r>
          </w:p>
          <w:p w14:paraId="00317AD6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1949</w:t>
            </w:r>
          </w:p>
        </w:tc>
        <w:tc>
          <w:tcPr>
            <w:tcW w:w="2014" w:type="dxa"/>
            <w:vAlign w:val="center"/>
          </w:tcPr>
          <w:p w14:paraId="05420A09" w14:textId="252AF021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8</w:t>
            </w:r>
            <w:r w:rsidR="00C4787D">
              <w:rPr>
                <w:rFonts w:ascii="Garamond" w:hAnsi="Garamond"/>
                <w:szCs w:val="24"/>
                <w:lang w:val="sq-AL"/>
              </w:rPr>
              <w:t>.</w:t>
            </w:r>
            <w:r w:rsidRPr="00582729">
              <w:rPr>
                <w:rFonts w:ascii="Garamond" w:hAnsi="Garamond"/>
                <w:szCs w:val="24"/>
                <w:lang w:val="sq-AL"/>
              </w:rPr>
              <w:t>2</w:t>
            </w:r>
            <w:r w:rsidR="00C4787D">
              <w:rPr>
                <w:rFonts w:ascii="Garamond" w:hAnsi="Garamond"/>
                <w:szCs w:val="24"/>
                <w:lang w:val="sq-AL"/>
              </w:rPr>
              <w:t>.</w:t>
            </w:r>
            <w:r w:rsidRPr="00582729">
              <w:rPr>
                <w:rFonts w:ascii="Garamond" w:hAnsi="Garamond"/>
                <w:szCs w:val="24"/>
                <w:lang w:val="sq-AL"/>
              </w:rPr>
              <w:t>2006</w:t>
            </w:r>
          </w:p>
        </w:tc>
        <w:tc>
          <w:tcPr>
            <w:tcW w:w="1353" w:type="dxa"/>
            <w:vAlign w:val="center"/>
          </w:tcPr>
          <w:p w14:paraId="5187A7C7" w14:textId="5701983B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14</w:t>
            </w:r>
            <w:r w:rsidR="00C4787D">
              <w:rPr>
                <w:rFonts w:ascii="Garamond" w:hAnsi="Garamond"/>
                <w:szCs w:val="24"/>
                <w:lang w:val="sq-AL"/>
              </w:rPr>
              <w:t>.</w:t>
            </w:r>
            <w:r w:rsidRPr="00582729">
              <w:rPr>
                <w:rFonts w:ascii="Garamond" w:hAnsi="Garamond"/>
                <w:szCs w:val="24"/>
                <w:lang w:val="sq-AL"/>
              </w:rPr>
              <w:t>5</w:t>
            </w:r>
            <w:r w:rsidR="00C4787D">
              <w:rPr>
                <w:rFonts w:ascii="Garamond" w:hAnsi="Garamond"/>
                <w:szCs w:val="24"/>
                <w:lang w:val="sq-AL"/>
              </w:rPr>
              <w:t>.</w:t>
            </w:r>
            <w:r w:rsidRPr="00582729">
              <w:rPr>
                <w:rFonts w:ascii="Garamond" w:hAnsi="Garamond"/>
                <w:szCs w:val="24"/>
                <w:lang w:val="sq-AL"/>
              </w:rPr>
              <w:t>2012</w:t>
            </w:r>
          </w:p>
        </w:tc>
        <w:tc>
          <w:tcPr>
            <w:tcW w:w="1710" w:type="dxa"/>
            <w:vAlign w:val="center"/>
          </w:tcPr>
          <w:p w14:paraId="5C3C6175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6 vite e tre muaj e 7 ditë</w:t>
            </w:r>
          </w:p>
          <w:p w14:paraId="1373A93D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3 nivele juridiksioni</w:t>
            </w:r>
          </w:p>
        </w:tc>
        <w:tc>
          <w:tcPr>
            <w:tcW w:w="1884" w:type="dxa"/>
            <w:vAlign w:val="center"/>
          </w:tcPr>
          <w:p w14:paraId="57303392" w14:textId="77777777" w:rsidR="00B82D54" w:rsidRPr="00582729" w:rsidRDefault="00B82D54" w:rsidP="00B82D54">
            <w:pPr>
              <w:pStyle w:val="NoSpacing"/>
              <w:jc w:val="center"/>
              <w:rPr>
                <w:rFonts w:ascii="Garamond" w:hAnsi="Garamond"/>
                <w:szCs w:val="24"/>
                <w:lang w:val="sq-AL"/>
              </w:rPr>
            </w:pPr>
            <w:r w:rsidRPr="00582729">
              <w:rPr>
                <w:rFonts w:ascii="Garamond" w:hAnsi="Garamond"/>
                <w:szCs w:val="24"/>
                <w:lang w:val="sq-AL"/>
              </w:rPr>
              <w:t>600</w:t>
            </w:r>
          </w:p>
        </w:tc>
      </w:tr>
    </w:tbl>
    <w:p w14:paraId="34CD7316" w14:textId="77777777" w:rsidR="00B82D54" w:rsidRPr="00582729" w:rsidRDefault="00B82D54" w:rsidP="00B82D54">
      <w:pPr>
        <w:spacing w:after="0" w:line="240" w:lineRule="auto"/>
        <w:ind w:firstLine="284"/>
        <w:rPr>
          <w:rFonts w:ascii="Garamond" w:hAnsi="Garamond"/>
          <w:sz w:val="24"/>
          <w:szCs w:val="24"/>
        </w:rPr>
      </w:pPr>
    </w:p>
    <w:p w14:paraId="48C4DA40" w14:textId="77777777" w:rsidR="00B56218" w:rsidRPr="00582729" w:rsidRDefault="00B56218" w:rsidP="00B82D54"/>
    <w:sectPr w:rsidR="00B56218" w:rsidRPr="005827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ED4C" w14:textId="77777777" w:rsidR="00F016C4" w:rsidRDefault="00F016C4" w:rsidP="00B82D54">
      <w:pPr>
        <w:spacing w:after="0" w:line="240" w:lineRule="auto"/>
      </w:pPr>
      <w:r>
        <w:separator/>
      </w:r>
    </w:p>
  </w:endnote>
  <w:endnote w:type="continuationSeparator" w:id="0">
    <w:p w14:paraId="33DC8AAD" w14:textId="77777777" w:rsidR="00F016C4" w:rsidRDefault="00F016C4" w:rsidP="00B82D54">
      <w:pPr>
        <w:spacing w:after="0" w:line="240" w:lineRule="auto"/>
      </w:pPr>
      <w:r>
        <w:continuationSeparator/>
      </w:r>
    </w:p>
  </w:endnote>
  <w:endnote w:type="continuationNotice" w:id="1">
    <w:p w14:paraId="35E5A510" w14:textId="77777777" w:rsidR="00F016C4" w:rsidRDefault="00F01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56EF" w14:textId="77777777" w:rsidR="00F016C4" w:rsidRDefault="00F016C4" w:rsidP="00B82D54">
    <w:pPr>
      <w:pStyle w:val="Footer"/>
    </w:pPr>
  </w:p>
  <w:p w14:paraId="65E1F9E5" w14:textId="77777777" w:rsidR="00F016C4" w:rsidRPr="00CC26CB" w:rsidRDefault="00F016C4" w:rsidP="00B8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76A2A" w14:textId="77777777" w:rsidR="00F016C4" w:rsidRDefault="00F016C4" w:rsidP="00B82D54">
      <w:pPr>
        <w:spacing w:after="0" w:line="240" w:lineRule="auto"/>
      </w:pPr>
      <w:r>
        <w:separator/>
      </w:r>
    </w:p>
  </w:footnote>
  <w:footnote w:type="continuationSeparator" w:id="0">
    <w:p w14:paraId="30B28113" w14:textId="77777777" w:rsidR="00F016C4" w:rsidRDefault="00F016C4" w:rsidP="00B82D54">
      <w:pPr>
        <w:spacing w:after="0" w:line="240" w:lineRule="auto"/>
      </w:pPr>
      <w:r>
        <w:continuationSeparator/>
      </w:r>
    </w:p>
  </w:footnote>
  <w:footnote w:type="continuationNotice" w:id="1">
    <w:p w14:paraId="062F1A69" w14:textId="77777777" w:rsidR="00F016C4" w:rsidRDefault="00F016C4">
      <w:pPr>
        <w:spacing w:after="0" w:line="240" w:lineRule="auto"/>
      </w:pPr>
    </w:p>
  </w:footnote>
  <w:footnote w:id="2">
    <w:p w14:paraId="100DA4DF" w14:textId="77777777" w:rsidR="00F016C4" w:rsidRPr="00C4787D" w:rsidRDefault="00F016C4" w:rsidP="00B82D54">
      <w:pPr>
        <w:pStyle w:val="FootnoteText"/>
        <w:rPr>
          <w:rFonts w:ascii="Garamond" w:hAnsi="Garamond"/>
        </w:rPr>
      </w:pPr>
      <w:r w:rsidRPr="00C4787D">
        <w:rPr>
          <w:rStyle w:val="FootnoteReference"/>
          <w:rFonts w:ascii="Garamond" w:hAnsi="Garamond"/>
        </w:rPr>
        <w:footnoteRef/>
      </w:r>
      <w:r w:rsidRPr="00C4787D">
        <w:rPr>
          <w:rFonts w:ascii="Garamond" w:hAnsi="Garamond"/>
        </w:rPr>
        <w:t xml:space="preserve"> Plus çdo taksë që mund t’i tarifohet kërkuesit.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C6DD" w14:textId="77777777" w:rsidR="00F016C4" w:rsidRDefault="00F016C4">
    <w:pPr>
      <w:pStyle w:val="Header"/>
    </w:pPr>
  </w:p>
  <w:p w14:paraId="5F2C13E7" w14:textId="77777777" w:rsidR="00F016C4" w:rsidRDefault="00F01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8"/>
    <w:rsid w:val="00012745"/>
    <w:rsid w:val="00014078"/>
    <w:rsid w:val="00031098"/>
    <w:rsid w:val="000427A6"/>
    <w:rsid w:val="000458EB"/>
    <w:rsid w:val="0006026E"/>
    <w:rsid w:val="00075D23"/>
    <w:rsid w:val="00090D05"/>
    <w:rsid w:val="0009171B"/>
    <w:rsid w:val="000956ED"/>
    <w:rsid w:val="000A39B7"/>
    <w:rsid w:val="000A77D9"/>
    <w:rsid w:val="000C3D4A"/>
    <w:rsid w:val="000C55A5"/>
    <w:rsid w:val="000D0E85"/>
    <w:rsid w:val="000D7F01"/>
    <w:rsid w:val="001149C8"/>
    <w:rsid w:val="00121461"/>
    <w:rsid w:val="0012538B"/>
    <w:rsid w:val="001268DB"/>
    <w:rsid w:val="00135329"/>
    <w:rsid w:val="0014112D"/>
    <w:rsid w:val="00141B18"/>
    <w:rsid w:val="00142C2B"/>
    <w:rsid w:val="00160647"/>
    <w:rsid w:val="00160E68"/>
    <w:rsid w:val="00167FB5"/>
    <w:rsid w:val="00175424"/>
    <w:rsid w:val="00183018"/>
    <w:rsid w:val="00190C3D"/>
    <w:rsid w:val="001944EB"/>
    <w:rsid w:val="00194B66"/>
    <w:rsid w:val="0019635C"/>
    <w:rsid w:val="001A2195"/>
    <w:rsid w:val="001C0519"/>
    <w:rsid w:val="001D2ABC"/>
    <w:rsid w:val="001D2F1F"/>
    <w:rsid w:val="001D3A2F"/>
    <w:rsid w:val="00204F93"/>
    <w:rsid w:val="00213728"/>
    <w:rsid w:val="00234715"/>
    <w:rsid w:val="00252C2A"/>
    <w:rsid w:val="00257E0A"/>
    <w:rsid w:val="00263D3A"/>
    <w:rsid w:val="002821F2"/>
    <w:rsid w:val="002929DC"/>
    <w:rsid w:val="002A23A7"/>
    <w:rsid w:val="002B1C09"/>
    <w:rsid w:val="002B7B82"/>
    <w:rsid w:val="002C3DC5"/>
    <w:rsid w:val="002C7879"/>
    <w:rsid w:val="002D71C7"/>
    <w:rsid w:val="002E2CDE"/>
    <w:rsid w:val="002F0DDD"/>
    <w:rsid w:val="00326EE3"/>
    <w:rsid w:val="003346E6"/>
    <w:rsid w:val="00334BDB"/>
    <w:rsid w:val="00336C31"/>
    <w:rsid w:val="00345F96"/>
    <w:rsid w:val="0034608A"/>
    <w:rsid w:val="00354F7A"/>
    <w:rsid w:val="003661C2"/>
    <w:rsid w:val="003673CA"/>
    <w:rsid w:val="00373E4A"/>
    <w:rsid w:val="00375DE4"/>
    <w:rsid w:val="00390D00"/>
    <w:rsid w:val="003956A3"/>
    <w:rsid w:val="00397301"/>
    <w:rsid w:val="003A0634"/>
    <w:rsid w:val="003A40CD"/>
    <w:rsid w:val="003A489E"/>
    <w:rsid w:val="003A6CF4"/>
    <w:rsid w:val="003B4312"/>
    <w:rsid w:val="003B57C7"/>
    <w:rsid w:val="003D12F1"/>
    <w:rsid w:val="003D54AD"/>
    <w:rsid w:val="003D693A"/>
    <w:rsid w:val="003E0134"/>
    <w:rsid w:val="003E6C19"/>
    <w:rsid w:val="00421355"/>
    <w:rsid w:val="00425784"/>
    <w:rsid w:val="004518B7"/>
    <w:rsid w:val="00452990"/>
    <w:rsid w:val="004604CD"/>
    <w:rsid w:val="00462CFB"/>
    <w:rsid w:val="004840E1"/>
    <w:rsid w:val="00486681"/>
    <w:rsid w:val="00490071"/>
    <w:rsid w:val="004948FB"/>
    <w:rsid w:val="00497200"/>
    <w:rsid w:val="004A2477"/>
    <w:rsid w:val="004C0C4E"/>
    <w:rsid w:val="004C25A2"/>
    <w:rsid w:val="004C3178"/>
    <w:rsid w:val="004C691E"/>
    <w:rsid w:val="004D4267"/>
    <w:rsid w:val="00504AE4"/>
    <w:rsid w:val="00505829"/>
    <w:rsid w:val="0051447D"/>
    <w:rsid w:val="00523B5F"/>
    <w:rsid w:val="005305D6"/>
    <w:rsid w:val="00551CD1"/>
    <w:rsid w:val="0055542F"/>
    <w:rsid w:val="00561B86"/>
    <w:rsid w:val="00567F21"/>
    <w:rsid w:val="00571959"/>
    <w:rsid w:val="00571B80"/>
    <w:rsid w:val="0058238F"/>
    <w:rsid w:val="00582729"/>
    <w:rsid w:val="00592C00"/>
    <w:rsid w:val="00597694"/>
    <w:rsid w:val="005B0B35"/>
    <w:rsid w:val="005B46A4"/>
    <w:rsid w:val="005B5967"/>
    <w:rsid w:val="005B7AE1"/>
    <w:rsid w:val="005C301C"/>
    <w:rsid w:val="005E27BA"/>
    <w:rsid w:val="005F5040"/>
    <w:rsid w:val="006032E2"/>
    <w:rsid w:val="00615BAF"/>
    <w:rsid w:val="0061609B"/>
    <w:rsid w:val="00623E07"/>
    <w:rsid w:val="00632A0C"/>
    <w:rsid w:val="006379E9"/>
    <w:rsid w:val="006425E0"/>
    <w:rsid w:val="00666247"/>
    <w:rsid w:val="00677AD4"/>
    <w:rsid w:val="00681454"/>
    <w:rsid w:val="00687BAF"/>
    <w:rsid w:val="006945EE"/>
    <w:rsid w:val="006A512D"/>
    <w:rsid w:val="006C5CF7"/>
    <w:rsid w:val="006D77AF"/>
    <w:rsid w:val="006E052D"/>
    <w:rsid w:val="006E6768"/>
    <w:rsid w:val="00710CF1"/>
    <w:rsid w:val="0072369E"/>
    <w:rsid w:val="0073468F"/>
    <w:rsid w:val="00773738"/>
    <w:rsid w:val="0077527A"/>
    <w:rsid w:val="00775B4C"/>
    <w:rsid w:val="007A0E53"/>
    <w:rsid w:val="007A6FEA"/>
    <w:rsid w:val="007C2D06"/>
    <w:rsid w:val="007D20DA"/>
    <w:rsid w:val="007D4E26"/>
    <w:rsid w:val="007E4822"/>
    <w:rsid w:val="007E4A74"/>
    <w:rsid w:val="007F1F00"/>
    <w:rsid w:val="007F20FF"/>
    <w:rsid w:val="0080141E"/>
    <w:rsid w:val="00801642"/>
    <w:rsid w:val="008037E4"/>
    <w:rsid w:val="00804031"/>
    <w:rsid w:val="008044AD"/>
    <w:rsid w:val="00824C5B"/>
    <w:rsid w:val="00846C01"/>
    <w:rsid w:val="00867646"/>
    <w:rsid w:val="0087040E"/>
    <w:rsid w:val="00886A96"/>
    <w:rsid w:val="00893102"/>
    <w:rsid w:val="008A2062"/>
    <w:rsid w:val="008A7BB6"/>
    <w:rsid w:val="008B2BBC"/>
    <w:rsid w:val="008C2627"/>
    <w:rsid w:val="008D0BB7"/>
    <w:rsid w:val="008D0DF7"/>
    <w:rsid w:val="008D2BEA"/>
    <w:rsid w:val="008E44CB"/>
    <w:rsid w:val="00915403"/>
    <w:rsid w:val="00943A32"/>
    <w:rsid w:val="00950BCD"/>
    <w:rsid w:val="009547F5"/>
    <w:rsid w:val="00983036"/>
    <w:rsid w:val="0098745D"/>
    <w:rsid w:val="009954E6"/>
    <w:rsid w:val="009B2B45"/>
    <w:rsid w:val="009E40DB"/>
    <w:rsid w:val="009E4E0D"/>
    <w:rsid w:val="00A0127D"/>
    <w:rsid w:val="00A0283C"/>
    <w:rsid w:val="00A12456"/>
    <w:rsid w:val="00A20C98"/>
    <w:rsid w:val="00A24CF9"/>
    <w:rsid w:val="00A25B9A"/>
    <w:rsid w:val="00A32E87"/>
    <w:rsid w:val="00A44733"/>
    <w:rsid w:val="00A4586F"/>
    <w:rsid w:val="00A46623"/>
    <w:rsid w:val="00A52EE5"/>
    <w:rsid w:val="00A6527C"/>
    <w:rsid w:val="00A72D95"/>
    <w:rsid w:val="00A925C9"/>
    <w:rsid w:val="00AA2B7C"/>
    <w:rsid w:val="00AA3CC7"/>
    <w:rsid w:val="00AA47BF"/>
    <w:rsid w:val="00AA6249"/>
    <w:rsid w:val="00AC1022"/>
    <w:rsid w:val="00AC7415"/>
    <w:rsid w:val="00AC7C81"/>
    <w:rsid w:val="00AD2604"/>
    <w:rsid w:val="00AD3E46"/>
    <w:rsid w:val="00AD7C20"/>
    <w:rsid w:val="00B0313E"/>
    <w:rsid w:val="00B034C3"/>
    <w:rsid w:val="00B11BC7"/>
    <w:rsid w:val="00B1293F"/>
    <w:rsid w:val="00B33946"/>
    <w:rsid w:val="00B416C3"/>
    <w:rsid w:val="00B4296B"/>
    <w:rsid w:val="00B56218"/>
    <w:rsid w:val="00B63506"/>
    <w:rsid w:val="00B70659"/>
    <w:rsid w:val="00B71250"/>
    <w:rsid w:val="00B7328E"/>
    <w:rsid w:val="00B76F3D"/>
    <w:rsid w:val="00B82D54"/>
    <w:rsid w:val="00B848A9"/>
    <w:rsid w:val="00B86D15"/>
    <w:rsid w:val="00BA244C"/>
    <w:rsid w:val="00BA2E85"/>
    <w:rsid w:val="00BB55ED"/>
    <w:rsid w:val="00BD0463"/>
    <w:rsid w:val="00BD0BEA"/>
    <w:rsid w:val="00BD36DF"/>
    <w:rsid w:val="00BE3604"/>
    <w:rsid w:val="00C042A6"/>
    <w:rsid w:val="00C0464F"/>
    <w:rsid w:val="00C07057"/>
    <w:rsid w:val="00C1476F"/>
    <w:rsid w:val="00C20549"/>
    <w:rsid w:val="00C30D0F"/>
    <w:rsid w:val="00C3572F"/>
    <w:rsid w:val="00C45955"/>
    <w:rsid w:val="00C4787D"/>
    <w:rsid w:val="00C5044F"/>
    <w:rsid w:val="00C5501C"/>
    <w:rsid w:val="00C634C1"/>
    <w:rsid w:val="00C71BED"/>
    <w:rsid w:val="00C72247"/>
    <w:rsid w:val="00C87472"/>
    <w:rsid w:val="00C914F9"/>
    <w:rsid w:val="00CA3579"/>
    <w:rsid w:val="00CA67DB"/>
    <w:rsid w:val="00CA70A2"/>
    <w:rsid w:val="00CB54DF"/>
    <w:rsid w:val="00CC12D4"/>
    <w:rsid w:val="00CD3537"/>
    <w:rsid w:val="00CE2A8A"/>
    <w:rsid w:val="00CE5249"/>
    <w:rsid w:val="00CF257C"/>
    <w:rsid w:val="00CF592F"/>
    <w:rsid w:val="00CF6387"/>
    <w:rsid w:val="00D12A76"/>
    <w:rsid w:val="00D20D88"/>
    <w:rsid w:val="00D63ABD"/>
    <w:rsid w:val="00D664EF"/>
    <w:rsid w:val="00D67248"/>
    <w:rsid w:val="00D70F22"/>
    <w:rsid w:val="00D77F86"/>
    <w:rsid w:val="00D8097B"/>
    <w:rsid w:val="00DA0E6B"/>
    <w:rsid w:val="00DA3185"/>
    <w:rsid w:val="00DA4EAA"/>
    <w:rsid w:val="00DB1844"/>
    <w:rsid w:val="00DE03AC"/>
    <w:rsid w:val="00E04762"/>
    <w:rsid w:val="00E05E21"/>
    <w:rsid w:val="00E170F1"/>
    <w:rsid w:val="00E24542"/>
    <w:rsid w:val="00E410D0"/>
    <w:rsid w:val="00E4133D"/>
    <w:rsid w:val="00E458A5"/>
    <w:rsid w:val="00E56153"/>
    <w:rsid w:val="00E61BC2"/>
    <w:rsid w:val="00E702BD"/>
    <w:rsid w:val="00E71C53"/>
    <w:rsid w:val="00E73692"/>
    <w:rsid w:val="00E90C21"/>
    <w:rsid w:val="00E944F8"/>
    <w:rsid w:val="00EC5ECD"/>
    <w:rsid w:val="00ED307F"/>
    <w:rsid w:val="00ED57FF"/>
    <w:rsid w:val="00EE4477"/>
    <w:rsid w:val="00EF1574"/>
    <w:rsid w:val="00EF5D20"/>
    <w:rsid w:val="00F016C4"/>
    <w:rsid w:val="00F50B83"/>
    <w:rsid w:val="00F51CB4"/>
    <w:rsid w:val="00F52037"/>
    <w:rsid w:val="00F56A94"/>
    <w:rsid w:val="00F64830"/>
    <w:rsid w:val="00F67838"/>
    <w:rsid w:val="00F67E1E"/>
    <w:rsid w:val="00F86D9D"/>
    <w:rsid w:val="00F9053B"/>
    <w:rsid w:val="00FB2D9C"/>
    <w:rsid w:val="00FC3948"/>
    <w:rsid w:val="00FC51DA"/>
    <w:rsid w:val="00FC5391"/>
    <w:rsid w:val="00FC6CAA"/>
    <w:rsid w:val="00FD7CC4"/>
    <w:rsid w:val="00FE24E7"/>
    <w:rsid w:val="00FE32FE"/>
    <w:rsid w:val="00FE408A"/>
    <w:rsid w:val="00FE5DBE"/>
    <w:rsid w:val="00FE5DFC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3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D5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2D5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82D5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82D5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B82D5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D5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D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82D54"/>
    <w:rPr>
      <w:vertAlign w:val="superscript"/>
    </w:rPr>
  </w:style>
  <w:style w:type="table" w:styleId="TableGrid">
    <w:name w:val="Table Grid"/>
    <w:basedOn w:val="TableNormal"/>
    <w:uiPriority w:val="59"/>
    <w:rsid w:val="00B82D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rsid w:val="00B82D54"/>
    <w:rPr>
      <w:rFonts w:ascii="Calibri" w:eastAsia="Times New Roman" w:hAnsi="Calibri" w:cs="Times New Roman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B82D54"/>
    <w:pPr>
      <w:tabs>
        <w:tab w:val="left" w:pos="567"/>
        <w:tab w:val="left" w:pos="1134"/>
      </w:tabs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B82D54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0"/>
      <w:lang w:val="en-GB" w:eastAsia="x-none"/>
    </w:rPr>
  </w:style>
  <w:style w:type="paragraph" w:customStyle="1" w:styleId="JuCase">
    <w:name w:val="Ju_Case"/>
    <w:basedOn w:val="Normal"/>
    <w:next w:val="ECHRPara"/>
    <w:uiPriority w:val="10"/>
    <w:rsid w:val="00B82D54"/>
    <w:pPr>
      <w:spacing w:after="0" w:line="240" w:lineRule="auto"/>
      <w:ind w:firstLine="284"/>
      <w:jc w:val="both"/>
    </w:pPr>
    <w:rPr>
      <w:rFonts w:ascii="Times New Roman" w:hAnsi="Times New Roman" w:cs="Times New Roman"/>
      <w:b/>
      <w:sz w:val="24"/>
      <w:lang w:val="en-GB"/>
    </w:rPr>
  </w:style>
  <w:style w:type="character" w:customStyle="1" w:styleId="ECHRParaChar">
    <w:name w:val="ECHR_Para Char"/>
    <w:aliases w:val="Ju_Para Char"/>
    <w:link w:val="ECHRPara"/>
    <w:uiPriority w:val="12"/>
    <w:rsid w:val="00B82D54"/>
    <w:rPr>
      <w:rFonts w:ascii="Times New Roman" w:hAnsi="Times New Roman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D5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2D5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82D5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82D5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B82D5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D5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D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82D54"/>
    <w:rPr>
      <w:vertAlign w:val="superscript"/>
    </w:rPr>
  </w:style>
  <w:style w:type="table" w:styleId="TableGrid">
    <w:name w:val="Table Grid"/>
    <w:basedOn w:val="TableNormal"/>
    <w:uiPriority w:val="59"/>
    <w:rsid w:val="00B82D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rsid w:val="00B82D54"/>
    <w:rPr>
      <w:rFonts w:ascii="Calibri" w:eastAsia="Times New Roman" w:hAnsi="Calibri" w:cs="Times New Roman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B82D54"/>
    <w:pPr>
      <w:tabs>
        <w:tab w:val="left" w:pos="567"/>
        <w:tab w:val="left" w:pos="1134"/>
      </w:tabs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B82D54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0"/>
      <w:lang w:val="en-GB" w:eastAsia="x-none"/>
    </w:rPr>
  </w:style>
  <w:style w:type="paragraph" w:customStyle="1" w:styleId="JuCase">
    <w:name w:val="Ju_Case"/>
    <w:basedOn w:val="Normal"/>
    <w:next w:val="ECHRPara"/>
    <w:uiPriority w:val="10"/>
    <w:rsid w:val="00B82D54"/>
    <w:pPr>
      <w:spacing w:after="0" w:line="240" w:lineRule="auto"/>
      <w:ind w:firstLine="284"/>
      <w:jc w:val="both"/>
    </w:pPr>
    <w:rPr>
      <w:rFonts w:ascii="Times New Roman" w:hAnsi="Times New Roman" w:cs="Times New Roman"/>
      <w:b/>
      <w:sz w:val="24"/>
      <w:lang w:val="en-GB"/>
    </w:rPr>
  </w:style>
  <w:style w:type="character" w:customStyle="1" w:styleId="ECHRParaChar">
    <w:name w:val="ECHR_Para Char"/>
    <w:aliases w:val="Ju_Para Char"/>
    <w:link w:val="ECHRPara"/>
    <w:uiPriority w:val="12"/>
    <w:rsid w:val="00B82D54"/>
    <w:rPr>
      <w:rFonts w:ascii="Times New Roman" w:hAnsi="Times New Roman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11254-11</Nr_x002e__x0020_akti>
    <Data_x0020_e_x0020_Krijimit xmlns="0e656187-b300-4fb0-8bf4-3a50f872073c">2023-08-17T09:21:39Z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2023-08-16T22:00:00Z</Date_x0020_protokolli>
    <Titulli xmlns="0e656187-b300-4fb0-8bf4-3a50f872073c">Çështja Hamitaj kundër Shqipërisë</Titulli>
    <Modifikuesi xmlns="0e656187-b300-4fb0-8bf4-3a50f872073c">Amarilda.Muja</Modifikuesi>
    <Nr_x002e__x0020_prot_x0020_QBZ xmlns="0e656187-b300-4fb0-8bf4-3a50f872073c">1278/1</Nr_x002e__x0020_prot_x0020_QBZ>
    <Data_x0020_e_x0020_Modifikimit xmlns="0e656187-b300-4fb0-8bf4-3a50f872073c">2023-08-18T08:53:20Z</Data_x0020_e_x0020_Modifikimit>
    <Dekretuar xmlns="0e656187-b300-4fb0-8bf4-3a50f872073c">false</Dekretuar>
    <Data xmlns="0e656187-b300-4fb0-8bf4-3a50f872073c">2023-07-19T22:00:00Z</Data>
    <Nr_x002e__x0020_protokolli_x0020_i_x0020_aktit xmlns="0e656187-b300-4fb0-8bf4-3a50f872073c">4970/1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29BF7CD1E1954F9C8A22E4445B4C86E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0B614-AEF5-4550-9AEB-F3444A213550}">
  <ds:schemaRefs>
    <ds:schemaRef ds:uri="http://schemas.openxmlformats.org/package/2006/metadata/core-properties"/>
    <ds:schemaRef ds:uri="0e656187-b300-4fb0-8bf4-3a50f872073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51904F-50E2-44C3-86A4-32B0E5F1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34DA51-23F9-44EE-B240-270B4CD1A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Hamitaj kundër Shqipërisë</vt:lpstr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Hamitaj kundër Shqipërisë</dc:title>
  <dc:creator>Entela Suli</dc:creator>
  <cp:lastModifiedBy>Jonida Zaharia</cp:lastModifiedBy>
  <cp:revision>2</cp:revision>
  <dcterms:created xsi:type="dcterms:W3CDTF">2024-01-12T09:28:00Z</dcterms:created>
  <dcterms:modified xsi:type="dcterms:W3CDTF">2024-01-12T09:28:00Z</dcterms:modified>
</cp:coreProperties>
</file>