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24608" w14:textId="6D296FE2" w:rsidR="00E907D0" w:rsidRPr="00543A29" w:rsidRDefault="00E907D0" w:rsidP="00E907D0">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GJYKATA </w:t>
      </w:r>
      <w:r w:rsidR="00BE336B" w:rsidRPr="00543A29">
        <w:rPr>
          <w:rFonts w:ascii="Garamond" w:eastAsiaTheme="minorHAnsi" w:hAnsi="Garamond"/>
          <w:color w:val="000000"/>
          <w:sz w:val="24"/>
          <w:szCs w:val="24"/>
          <w14:ligatures w14:val="standardContextual"/>
        </w:rPr>
        <w:t>EVROPIANE</w:t>
      </w:r>
      <w:r w:rsidRPr="00543A29">
        <w:rPr>
          <w:rFonts w:ascii="Garamond" w:eastAsiaTheme="minorHAnsi" w:hAnsi="Garamond"/>
          <w:color w:val="000000"/>
          <w:sz w:val="24"/>
          <w:szCs w:val="24"/>
          <w14:ligatures w14:val="standardContextual"/>
        </w:rPr>
        <w:t xml:space="preserve"> E TË DREJTAVE TË NJERIUT</w:t>
      </w:r>
    </w:p>
    <w:p w14:paraId="75D87F7A" w14:textId="77777777" w:rsidR="00E907D0" w:rsidRPr="00543A29" w:rsidRDefault="00E907D0" w:rsidP="00E907D0">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37F9501E" w14:textId="5EF84769" w:rsidR="00E907D0" w:rsidRPr="00543A29" w:rsidRDefault="00E907D0" w:rsidP="00E907D0">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SEKSIONI I TRETË</w:t>
      </w:r>
    </w:p>
    <w:p w14:paraId="0FA2DE37"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p>
    <w:p w14:paraId="72835E9F" w14:textId="777CF3D3" w:rsidR="00E907D0" w:rsidRPr="00543A29" w:rsidRDefault="00E907D0" w:rsidP="00E907D0">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bookmarkStart w:id="0" w:name="_GoBack"/>
      <w:r w:rsidRPr="00543A29">
        <w:rPr>
          <w:rFonts w:ascii="Garamond" w:eastAsiaTheme="minorHAnsi" w:hAnsi="Garamond"/>
          <w:b/>
          <w:bCs/>
          <w:color w:val="000000"/>
          <w:sz w:val="24"/>
          <w:szCs w:val="24"/>
          <w14:ligatures w14:val="standardContextual"/>
        </w:rPr>
        <w:t>ÇËSHTJA ALSULA DHE TË TJERË KUNDËR SHQIPËRISË</w:t>
      </w:r>
    </w:p>
    <w:bookmarkEnd w:id="0"/>
    <w:p w14:paraId="34D1DDCB"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(Kërkesa nr. 63975/10 dhe 2 të tjera – shih listën bashkëlidhur)</w:t>
      </w:r>
    </w:p>
    <w:p w14:paraId="72367B1A"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2F1D83CA"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VENDIM</w:t>
      </w:r>
    </w:p>
    <w:p w14:paraId="1A55B33A"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STRASBURG</w:t>
      </w:r>
    </w:p>
    <w:p w14:paraId="64C97F8D" w14:textId="343DC5A9" w:rsidR="00E907D0" w:rsidRPr="00543A29" w:rsidRDefault="00E907D0" w:rsidP="00E907D0">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30 </w:t>
      </w:r>
      <w:r w:rsidR="007E671A" w:rsidRP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ëntor 2023</w:t>
      </w:r>
    </w:p>
    <w:p w14:paraId="2944CA9B"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p>
    <w:p w14:paraId="4F1D5B79" w14:textId="77777777" w:rsidR="00E907D0" w:rsidRPr="00543A29" w:rsidRDefault="00E907D0" w:rsidP="00E907D0">
      <w:pPr>
        <w:autoSpaceDE w:val="0"/>
        <w:autoSpaceDN w:val="0"/>
        <w:adjustRightInd w:val="0"/>
        <w:spacing w:after="0" w:line="240" w:lineRule="auto"/>
        <w:ind w:firstLine="284"/>
        <w:jc w:val="center"/>
        <w:rPr>
          <w:rFonts w:ascii="Garamond" w:eastAsiaTheme="minorHAnsi" w:hAnsi="Garamond"/>
          <w:i/>
          <w:iCs/>
          <w:color w:val="000000"/>
          <w:sz w:val="24"/>
          <w:szCs w:val="24"/>
          <w14:ligatures w14:val="standardContextual"/>
        </w:rPr>
      </w:pPr>
      <w:r w:rsidRPr="00543A29">
        <w:rPr>
          <w:rFonts w:ascii="Garamond" w:eastAsiaTheme="minorHAnsi" w:hAnsi="Garamond"/>
          <w:i/>
          <w:iCs/>
          <w:color w:val="000000"/>
          <w:sz w:val="24"/>
          <w:szCs w:val="24"/>
          <w14:ligatures w14:val="standardContextual"/>
        </w:rPr>
        <w:t>Ky vendim është i formës së prerë, por mund të bëhet subjekt i rishikimit redaktues.</w:t>
      </w:r>
    </w:p>
    <w:p w14:paraId="344B0F84" w14:textId="77777777" w:rsidR="00E907D0" w:rsidRPr="00543A29" w:rsidRDefault="00E907D0" w:rsidP="00E907D0">
      <w:pPr>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p>
    <w:p w14:paraId="3E9F1DA2"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543A29">
        <w:rPr>
          <w:rFonts w:ascii="Garamond" w:eastAsiaTheme="minorHAnsi" w:hAnsi="Garamond"/>
          <w:b/>
          <w:bCs/>
          <w:color w:val="000000"/>
          <w:sz w:val="24"/>
          <w:szCs w:val="24"/>
          <w14:ligatures w14:val="standardContextual"/>
        </w:rPr>
        <w:t xml:space="preserve">Në çështjen </w:t>
      </w:r>
      <w:proofErr w:type="spellStart"/>
      <w:r w:rsidRPr="00543A29">
        <w:rPr>
          <w:rFonts w:ascii="Garamond" w:eastAsiaTheme="minorHAnsi" w:hAnsi="Garamond"/>
          <w:b/>
          <w:bCs/>
          <w:color w:val="000000"/>
          <w:sz w:val="24"/>
          <w:szCs w:val="24"/>
          <w14:ligatures w14:val="standardContextual"/>
        </w:rPr>
        <w:t>Alsula</w:t>
      </w:r>
      <w:proofErr w:type="spellEnd"/>
      <w:r w:rsidRPr="00543A29">
        <w:rPr>
          <w:rFonts w:ascii="Garamond" w:eastAsiaTheme="minorHAnsi" w:hAnsi="Garamond"/>
          <w:b/>
          <w:bCs/>
          <w:color w:val="000000"/>
          <w:sz w:val="24"/>
          <w:szCs w:val="24"/>
          <w14:ligatures w14:val="standardContextual"/>
        </w:rPr>
        <w:t xml:space="preserve"> dhe të Tjerë kundër Shqipërisë,</w:t>
      </w:r>
    </w:p>
    <w:p w14:paraId="7940B228"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Gjykata Evropiane e të Drejtave të Njeriut (Seksioni i Tretë), e mbledhur si një Komitet i përbërë nga: </w:t>
      </w:r>
    </w:p>
    <w:p w14:paraId="41FF8E5C" w14:textId="43E93F29" w:rsidR="00E907D0" w:rsidRPr="00543A29" w:rsidRDefault="00E907D0" w:rsidP="00E907D0">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Ioannis</w:t>
      </w:r>
      <w:proofErr w:type="spellEnd"/>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Ktistakis</w:t>
      </w:r>
      <w:proofErr w:type="spellEnd"/>
      <w:r w:rsidRPr="00543A29">
        <w:rPr>
          <w:rFonts w:ascii="Garamond" w:eastAsiaTheme="minorHAnsi" w:hAnsi="Garamond"/>
          <w:color w:val="000000"/>
          <w:sz w:val="24"/>
          <w:szCs w:val="24"/>
          <w14:ligatures w14:val="standardContextual"/>
        </w:rPr>
        <w:t>,</w:t>
      </w:r>
      <w:r w:rsidRPr="00543A29">
        <w:rPr>
          <w:rFonts w:ascii="Garamond" w:eastAsiaTheme="minorHAnsi" w:hAnsi="Garamond"/>
          <w:i/>
          <w:iCs/>
          <w:color w:val="000000"/>
          <w:sz w:val="24"/>
          <w:szCs w:val="24"/>
          <w14:ligatures w14:val="standardContextual"/>
        </w:rPr>
        <w:t xml:space="preserve"> </w:t>
      </w:r>
      <w:r w:rsidR="00543A29">
        <w:rPr>
          <w:rFonts w:ascii="Garamond" w:eastAsiaTheme="minorHAnsi" w:hAnsi="Garamond"/>
          <w:i/>
          <w:iCs/>
          <w:color w:val="000000"/>
          <w:sz w:val="24"/>
          <w:szCs w:val="24"/>
          <w14:ligatures w14:val="standardContextual"/>
        </w:rPr>
        <w:t>k</w:t>
      </w:r>
      <w:r w:rsidRPr="00543A29">
        <w:rPr>
          <w:rFonts w:ascii="Garamond" w:eastAsiaTheme="minorHAnsi" w:hAnsi="Garamond"/>
          <w:i/>
          <w:iCs/>
          <w:color w:val="000000"/>
          <w:sz w:val="24"/>
          <w:szCs w:val="24"/>
          <w14:ligatures w14:val="standardContextual"/>
        </w:rPr>
        <w:t>ryetar,</w:t>
      </w:r>
    </w:p>
    <w:p w14:paraId="04053392" w14:textId="1A43140D" w:rsidR="00E907D0" w:rsidRPr="00543A29" w:rsidRDefault="00E907D0" w:rsidP="00E907D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Darian</w:t>
      </w:r>
      <w:proofErr w:type="spellEnd"/>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Pavli</w:t>
      </w:r>
      <w:proofErr w:type="spellEnd"/>
      <w:r w:rsidRPr="00543A29">
        <w:rPr>
          <w:rFonts w:ascii="Garamond" w:eastAsiaTheme="minorHAnsi" w:hAnsi="Garamond"/>
          <w:color w:val="000000"/>
          <w:sz w:val="24"/>
          <w:szCs w:val="24"/>
          <w14:ligatures w14:val="standardContextual"/>
        </w:rPr>
        <w:t>,</w:t>
      </w:r>
    </w:p>
    <w:p w14:paraId="56981AD7" w14:textId="2BCCFFF6" w:rsidR="00E907D0" w:rsidRPr="00543A29" w:rsidRDefault="00E907D0" w:rsidP="00E907D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Oddný</w:t>
      </w:r>
      <w:proofErr w:type="spellEnd"/>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Mjöll</w:t>
      </w:r>
      <w:proofErr w:type="spellEnd"/>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Arnardóttir</w:t>
      </w:r>
      <w:proofErr w:type="spellEnd"/>
      <w:r w:rsidRPr="00543A29">
        <w:rPr>
          <w:rFonts w:ascii="Garamond" w:eastAsiaTheme="minorHAnsi" w:hAnsi="Garamond"/>
          <w:color w:val="000000"/>
          <w:sz w:val="24"/>
          <w:szCs w:val="24"/>
          <w14:ligatures w14:val="standardContextual"/>
        </w:rPr>
        <w:t xml:space="preserve">, </w:t>
      </w:r>
      <w:r w:rsidRPr="00543A29">
        <w:rPr>
          <w:rFonts w:ascii="Garamond" w:eastAsiaTheme="minorHAnsi" w:hAnsi="Garamond"/>
          <w:i/>
          <w:iCs/>
          <w:color w:val="000000"/>
          <w:sz w:val="24"/>
          <w:szCs w:val="24"/>
          <w14:ligatures w14:val="standardContextual"/>
        </w:rPr>
        <w:t xml:space="preserve">gjyqtarë </w:t>
      </w:r>
    </w:p>
    <w:p w14:paraId="244A89CA" w14:textId="22BED6AB" w:rsidR="00E907D0" w:rsidRPr="00543A29" w:rsidRDefault="00E907D0" w:rsidP="00E907D0">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dhe </w:t>
      </w:r>
      <w:proofErr w:type="spellStart"/>
      <w:r w:rsidRPr="00543A29">
        <w:rPr>
          <w:rFonts w:ascii="Garamond" w:eastAsiaTheme="minorHAnsi" w:hAnsi="Garamond"/>
          <w:color w:val="000000"/>
          <w:sz w:val="24"/>
          <w:szCs w:val="24"/>
          <w14:ligatures w14:val="standardContextual"/>
        </w:rPr>
        <w:t>Viktoriya</w:t>
      </w:r>
      <w:proofErr w:type="spellEnd"/>
      <w:r w:rsidRPr="00543A29">
        <w:rPr>
          <w:rFonts w:ascii="Garamond" w:eastAsiaTheme="minorHAnsi" w:hAnsi="Garamond"/>
          <w:color w:val="000000"/>
          <w:sz w:val="24"/>
          <w:szCs w:val="24"/>
          <w14:ligatures w14:val="standardContextual"/>
        </w:rPr>
        <w:t xml:space="preserve"> </w:t>
      </w:r>
      <w:proofErr w:type="spellStart"/>
      <w:r w:rsidRPr="00543A29">
        <w:rPr>
          <w:rFonts w:ascii="Garamond" w:eastAsiaTheme="minorHAnsi" w:hAnsi="Garamond"/>
          <w:color w:val="000000"/>
          <w:sz w:val="24"/>
          <w:szCs w:val="24"/>
          <w14:ligatures w14:val="standardContextual"/>
        </w:rPr>
        <w:t>Maradudina</w:t>
      </w:r>
      <w:proofErr w:type="spellEnd"/>
      <w:r w:rsidRPr="00543A29">
        <w:rPr>
          <w:rFonts w:ascii="Garamond" w:eastAsiaTheme="minorHAnsi" w:hAnsi="Garamond"/>
          <w:color w:val="000000"/>
          <w:sz w:val="24"/>
          <w:szCs w:val="24"/>
          <w14:ligatures w14:val="standardContextual"/>
        </w:rPr>
        <w:t xml:space="preserve">, </w:t>
      </w:r>
      <w:r w:rsidR="00543A29">
        <w:rPr>
          <w:rFonts w:ascii="Garamond" w:eastAsiaTheme="minorHAnsi" w:hAnsi="Garamond"/>
          <w:i/>
          <w:iCs/>
          <w:color w:val="000000"/>
          <w:sz w:val="24"/>
          <w:szCs w:val="24"/>
          <w14:ligatures w14:val="standardContextual"/>
        </w:rPr>
        <w:t>z</w:t>
      </w:r>
      <w:r w:rsidRPr="00543A29">
        <w:rPr>
          <w:rFonts w:ascii="Garamond" w:eastAsiaTheme="minorHAnsi" w:hAnsi="Garamond"/>
          <w:i/>
          <w:iCs/>
          <w:color w:val="000000"/>
          <w:sz w:val="24"/>
          <w:szCs w:val="24"/>
          <w14:ligatures w14:val="standardContextual"/>
        </w:rPr>
        <w:t xml:space="preserve">ëvendëssekretare e </w:t>
      </w:r>
      <w:proofErr w:type="spellStart"/>
      <w:r w:rsidR="00543A29">
        <w:rPr>
          <w:rFonts w:ascii="Garamond" w:eastAsiaTheme="minorHAnsi" w:hAnsi="Garamond"/>
          <w:i/>
          <w:iCs/>
          <w:color w:val="000000"/>
          <w:sz w:val="24"/>
          <w:szCs w:val="24"/>
          <w14:ligatures w14:val="standardContextual"/>
        </w:rPr>
        <w:t>p</w:t>
      </w:r>
      <w:r w:rsidRPr="00543A29">
        <w:rPr>
          <w:rFonts w:ascii="Garamond" w:eastAsiaTheme="minorHAnsi" w:hAnsi="Garamond"/>
          <w:i/>
          <w:iCs/>
          <w:color w:val="000000"/>
          <w:sz w:val="24"/>
          <w:szCs w:val="24"/>
          <w14:ligatures w14:val="standardContextual"/>
        </w:rPr>
        <w:t>Përkohshme</w:t>
      </w:r>
      <w:proofErr w:type="spellEnd"/>
      <w:r w:rsidRPr="00543A29">
        <w:rPr>
          <w:rFonts w:ascii="Garamond" w:eastAsiaTheme="minorHAnsi" w:hAnsi="Garamond"/>
          <w:i/>
          <w:iCs/>
          <w:color w:val="000000"/>
          <w:sz w:val="24"/>
          <w:szCs w:val="24"/>
          <w14:ligatures w14:val="standardContextual"/>
        </w:rPr>
        <w:t xml:space="preserve"> e Seksionit,</w:t>
      </w:r>
      <w:r w:rsidRPr="00543A29">
        <w:rPr>
          <w:rFonts w:ascii="Garamond" w:eastAsiaTheme="minorHAnsi" w:hAnsi="Garamond"/>
          <w:color w:val="000000"/>
          <w:sz w:val="24"/>
          <w:szCs w:val="24"/>
          <w14:ligatures w14:val="standardContextual"/>
        </w:rPr>
        <w:t xml:space="preserve"> </w:t>
      </w:r>
    </w:p>
    <w:p w14:paraId="5A94E27F" w14:textId="03409231"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Pasi diskutoi me dyer të mbyllura më 9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ëntor 2023,</w:t>
      </w:r>
    </w:p>
    <w:p w14:paraId="1CC2135B"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Shpall vendimin e mëposhtëm, i cili u miratua në po atë datë:</w:t>
      </w:r>
    </w:p>
    <w:p w14:paraId="6882040C"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HYRJE</w:t>
      </w:r>
    </w:p>
    <w:p w14:paraId="275B16EE" w14:textId="6F8A6CEF"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1. Çështja filloi me kërkesat kundër Shqipërisë depozituar pranë Gjykatës</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në mbështetje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enit 34 të Konventës për Mbrojtjen e të Drejtave të Njeriut dhe Lirive Themelore (“Konventa”), në data të ndryshme të paraqitura në tabelën bashkëlidhur.</w:t>
      </w:r>
    </w:p>
    <w:p w14:paraId="6C8B5E42" w14:textId="14F84EC2"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2. Qeveria shqiptare (“</w:t>
      </w:r>
      <w:r w:rsidR="00543A29">
        <w:rPr>
          <w:rFonts w:ascii="Garamond" w:eastAsiaTheme="minorHAnsi" w:hAnsi="Garamond"/>
          <w:color w:val="000000"/>
          <w:sz w:val="24"/>
          <w:szCs w:val="24"/>
          <w14:ligatures w14:val="standardContextual"/>
        </w:rPr>
        <w:t>q</w:t>
      </w:r>
      <w:r w:rsidRPr="00543A29">
        <w:rPr>
          <w:rFonts w:ascii="Garamond" w:eastAsiaTheme="minorHAnsi" w:hAnsi="Garamond"/>
          <w:color w:val="000000"/>
          <w:sz w:val="24"/>
          <w:szCs w:val="24"/>
          <w14:ligatures w14:val="standardContextual"/>
        </w:rPr>
        <w:t xml:space="preserve">everia”) u vu në dijeni në lidhje me kërkesat. </w:t>
      </w:r>
    </w:p>
    <w:p w14:paraId="14B6BF00"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FAKTET </w:t>
      </w:r>
    </w:p>
    <w:p w14:paraId="01D86BF8" w14:textId="14F21F0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3. Lista e kërkuesve dhe detajet përkatëse të kërkesave paraqiten në tabelën bashkëlidhur.</w:t>
      </w:r>
    </w:p>
    <w:p w14:paraId="0B7ECB09" w14:textId="77777777" w:rsid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4. Kërkuesit u ankuan për mosekzekutimin ose ekzekutimin e vonuar të vendimeve vendase.</w:t>
      </w:r>
    </w:p>
    <w:p w14:paraId="66B2BC7E" w14:textId="1A3FBD10"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Disa kërkues ngritën edhe disa ankesa të tjera sipas praktikës gjyqësore të konsoliduar të Gjykatës.</w:t>
      </w:r>
    </w:p>
    <w:p w14:paraId="0A0A129F" w14:textId="279D0C03"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LIGJI</w:t>
      </w:r>
    </w:p>
    <w:p w14:paraId="253204D5" w14:textId="1A44C969"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I. BASHKIMI I KËRKESAVE</w:t>
      </w:r>
    </w:p>
    <w:p w14:paraId="3771E8D6" w14:textId="5BEF7644"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5. Duke pasur në konsideratë lëndën e ngjashme të kërkesave, Gjykata e vlerëson të përshtatshme që t’i shqyrtojë ato së bashku në një vendim të vetëm.</w:t>
      </w:r>
    </w:p>
    <w:p w14:paraId="5A3C58C5" w14:textId="10929F2B"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II. KËRKESA E QEVERISË PËR TË </w:t>
      </w:r>
      <w:r w:rsidR="00543A29" w:rsidRPr="00543A29">
        <w:rPr>
          <w:rFonts w:ascii="Garamond" w:eastAsiaTheme="minorHAnsi" w:hAnsi="Garamond"/>
          <w:color w:val="000000"/>
          <w:sz w:val="24"/>
          <w:szCs w:val="24"/>
          <w14:ligatures w14:val="standardContextual"/>
        </w:rPr>
        <w:t>ÇREGJISTRUAR</w:t>
      </w:r>
      <w:r w:rsidRPr="00543A29">
        <w:rPr>
          <w:rFonts w:ascii="Garamond" w:eastAsiaTheme="minorHAnsi" w:hAnsi="Garamond"/>
          <w:color w:val="000000"/>
          <w:sz w:val="24"/>
          <w:szCs w:val="24"/>
          <w14:ligatures w14:val="standardContextual"/>
        </w:rPr>
        <w:t xml:space="preserve"> KËRKESËN NR. 6932/15</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NË MBËSHTETJE TË NENIT 37 </w:t>
      </w:r>
      <w:r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TË KONVENTËS</w:t>
      </w:r>
    </w:p>
    <w:p w14:paraId="54E52092" w14:textId="0F3E615A"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6. Në kërkesën nr. 6932/15, </w:t>
      </w:r>
      <w:r w:rsidR="00543A29">
        <w:rPr>
          <w:rFonts w:ascii="Garamond" w:eastAsiaTheme="minorHAnsi" w:hAnsi="Garamond"/>
          <w:color w:val="000000"/>
          <w:sz w:val="24"/>
          <w:szCs w:val="24"/>
          <w14:ligatures w14:val="standardContextual"/>
        </w:rPr>
        <w:t>q</w:t>
      </w:r>
      <w:r w:rsidRPr="00543A29">
        <w:rPr>
          <w:rFonts w:ascii="Garamond" w:eastAsiaTheme="minorHAnsi" w:hAnsi="Garamond"/>
          <w:color w:val="000000"/>
          <w:sz w:val="24"/>
          <w:szCs w:val="24"/>
          <w14:ligatures w14:val="standardContextual"/>
        </w:rPr>
        <w:t>everia parashtroi një deklaratë të njëanshme, në të cilën nuk kishte një bazë të mjaftueshme për të argumentuar se, në mbështetje të parashikimit në Konventë për të drejtat e njeriut, Gjykatës nuk i kërkohej që të vijonte me shqyrtimin e çështjeve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 37 </w:t>
      </w:r>
      <w:r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w:t>
      </w:r>
      <w:r w:rsidRPr="00543A29">
        <w:rPr>
          <w:rFonts w:ascii="Garamond" w:eastAsiaTheme="minorHAnsi" w:hAnsi="Garamond"/>
          <w:i/>
          <w:iCs/>
          <w:color w:val="000000"/>
          <w:sz w:val="24"/>
          <w:szCs w:val="24"/>
          <w14:ligatures w14:val="standardContextual"/>
        </w:rPr>
        <w:t>in fine</w:t>
      </w:r>
      <w:r w:rsidRPr="00543A29">
        <w:rPr>
          <w:rFonts w:ascii="Garamond" w:eastAsiaTheme="minorHAnsi" w:hAnsi="Garamond"/>
          <w:color w:val="000000"/>
          <w:sz w:val="24"/>
          <w:szCs w:val="24"/>
          <w14:ligatures w14:val="standardContextual"/>
        </w:rPr>
        <w:t xml:space="preserve">). Gjykata e rrëzon kërkesën e </w:t>
      </w:r>
      <w:r w:rsidR="00543A29">
        <w:rPr>
          <w:rFonts w:ascii="Garamond" w:eastAsiaTheme="minorHAnsi" w:hAnsi="Garamond"/>
          <w:color w:val="000000"/>
          <w:sz w:val="24"/>
          <w:szCs w:val="24"/>
          <w14:ligatures w14:val="standardContextual"/>
        </w:rPr>
        <w:t>q</w:t>
      </w:r>
      <w:r w:rsidRPr="00543A29">
        <w:rPr>
          <w:rFonts w:ascii="Garamond" w:eastAsiaTheme="minorHAnsi" w:hAnsi="Garamond"/>
          <w:color w:val="000000"/>
          <w:sz w:val="24"/>
          <w:szCs w:val="24"/>
          <w14:ligatures w14:val="standardContextual"/>
        </w:rPr>
        <w:t xml:space="preserve">everisë për çregjistrimin e kërkesës dhe, sipas rrethanave, do të vijojë të shqyrtojë meritat e çështjes (shih </w:t>
      </w:r>
      <w:proofErr w:type="spellStart"/>
      <w:r w:rsidRPr="00543A29">
        <w:rPr>
          <w:rFonts w:ascii="Garamond" w:eastAsiaTheme="minorHAnsi" w:hAnsi="Garamond"/>
          <w:i/>
          <w:iCs/>
          <w:color w:val="000000"/>
          <w:sz w:val="24"/>
          <w:szCs w:val="24"/>
          <w14:ligatures w14:val="standardContextual"/>
        </w:rPr>
        <w:t>Tahsin</w:t>
      </w:r>
      <w:proofErr w:type="spellEnd"/>
      <w:r w:rsidRPr="00543A29">
        <w:rPr>
          <w:rFonts w:ascii="Garamond" w:eastAsiaTheme="minorHAnsi" w:hAnsi="Garamond"/>
          <w:i/>
          <w:iCs/>
          <w:color w:val="000000"/>
          <w:sz w:val="24"/>
          <w:szCs w:val="24"/>
          <w14:ligatures w14:val="standardContextual"/>
        </w:rPr>
        <w:t xml:space="preserve"> Acar kundër Turqisë </w:t>
      </w:r>
      <w:r w:rsidRPr="00543A29">
        <w:rPr>
          <w:rFonts w:ascii="Garamond" w:eastAsiaTheme="minorHAnsi" w:hAnsi="Garamond"/>
          <w:color w:val="000000"/>
          <w:sz w:val="24"/>
          <w:szCs w:val="24"/>
          <w14:ligatures w14:val="standardContextual"/>
        </w:rPr>
        <w:t xml:space="preserve">(gjykimi paraprak) [DHM], nr. 26307/95,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75, GJEDNJ 2003 VI). </w:t>
      </w:r>
    </w:p>
    <w:p w14:paraId="4E0845C1" w14:textId="3D702A16"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III. PRETENDIM PËR SHKELJE TË NENIT 6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TË KONVENTËS</w:t>
      </w:r>
    </w:p>
    <w:p w14:paraId="0A697985" w14:textId="66AFFEF6"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7. Kërkuesit u ankuan kryesisht për mosekzekutimin ose ekzekutimin e vonuar të vendimeve vendase dhënë në favorin e tyre. Ata u mbështetën, qartazi ose në thelb, në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enin 6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të Konventës. </w:t>
      </w:r>
    </w:p>
    <w:p w14:paraId="0B678DA8" w14:textId="5D80C4EB"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8. Gjykata thekson se ekzekutimi i një vendimi të dhënë nga një gjykatë duhet të konsiderohet si një pjesë integrale e një “seance” sipas parashikimit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enit 6. Gjithashtu, Gjykata i referohet praktikës së saj gjyqësore</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në lidhje me mosekzekutimin ose ekzekutimin e vonuar të vendimeve vendase të formës së prerë (shih </w:t>
      </w:r>
      <w:proofErr w:type="spellStart"/>
      <w:r w:rsidRPr="00543A29">
        <w:rPr>
          <w:rFonts w:ascii="Garamond" w:eastAsiaTheme="minorHAnsi" w:hAnsi="Garamond"/>
          <w:i/>
          <w:iCs/>
          <w:color w:val="000000"/>
          <w:sz w:val="24"/>
          <w:szCs w:val="24"/>
          <w14:ligatures w14:val="standardContextual"/>
        </w:rPr>
        <w:t>Hornsby</w:t>
      </w:r>
      <w:proofErr w:type="spellEnd"/>
      <w:r w:rsidRPr="00543A29">
        <w:rPr>
          <w:rFonts w:ascii="Garamond" w:eastAsiaTheme="minorHAnsi" w:hAnsi="Garamond"/>
          <w:i/>
          <w:iCs/>
          <w:color w:val="000000"/>
          <w:sz w:val="24"/>
          <w:szCs w:val="24"/>
          <w14:ligatures w14:val="standardContextual"/>
        </w:rPr>
        <w:t xml:space="preserve"> kundër Greqisë</w:t>
      </w:r>
      <w:r w:rsidRPr="00543A29">
        <w:rPr>
          <w:rFonts w:ascii="Garamond" w:eastAsiaTheme="minorHAnsi" w:hAnsi="Garamond"/>
          <w:color w:val="000000"/>
          <w:sz w:val="24"/>
          <w:szCs w:val="24"/>
          <w14:ligatures w14:val="standardContextual"/>
        </w:rPr>
        <w:t xml:space="preserve">, nr. 18357/91,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40, </w:t>
      </w:r>
      <w:r w:rsidRPr="00543A29">
        <w:rPr>
          <w:rFonts w:ascii="Garamond" w:eastAsiaTheme="minorHAnsi" w:hAnsi="Garamond"/>
          <w:i/>
          <w:iCs/>
          <w:color w:val="000000"/>
          <w:sz w:val="24"/>
          <w:szCs w:val="24"/>
          <w14:ligatures w14:val="standardContextual"/>
        </w:rPr>
        <w:t>Raportet e Gjykimeve dhe Vendimeve</w:t>
      </w:r>
      <w:r w:rsidRPr="00543A29">
        <w:rPr>
          <w:rFonts w:ascii="Garamond" w:eastAsiaTheme="minorHAnsi" w:hAnsi="Garamond"/>
          <w:color w:val="000000"/>
          <w:sz w:val="24"/>
          <w:szCs w:val="24"/>
          <w14:ligatures w14:val="standardContextual"/>
        </w:rPr>
        <w:t xml:space="preserve"> 1997-II). </w:t>
      </w:r>
    </w:p>
    <w:p w14:paraId="1EB20B33" w14:textId="1D5F0ABC"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lastRenderedPageBreak/>
        <w:t xml:space="preserve">9. Në çështjet e referuara </w:t>
      </w:r>
      <w:proofErr w:type="spellStart"/>
      <w:r w:rsidRPr="00543A29">
        <w:rPr>
          <w:rFonts w:ascii="Garamond" w:eastAsiaTheme="minorHAnsi" w:hAnsi="Garamond"/>
          <w:i/>
          <w:iCs/>
          <w:color w:val="000000"/>
          <w:sz w:val="24"/>
          <w:szCs w:val="24"/>
          <w14:ligatures w14:val="standardContextual"/>
        </w:rPr>
        <w:t>Qufaj</w:t>
      </w:r>
      <w:proofErr w:type="spellEnd"/>
      <w:r w:rsidRPr="00543A29">
        <w:rPr>
          <w:rFonts w:ascii="Garamond" w:eastAsiaTheme="minorHAnsi" w:hAnsi="Garamond"/>
          <w:i/>
          <w:iCs/>
          <w:color w:val="000000"/>
          <w:sz w:val="24"/>
          <w:szCs w:val="24"/>
          <w14:ligatures w14:val="standardContextual"/>
        </w:rPr>
        <w:t xml:space="preserve"> </w:t>
      </w:r>
      <w:proofErr w:type="spellStart"/>
      <w:r w:rsidRPr="00543A29">
        <w:rPr>
          <w:rFonts w:ascii="Garamond" w:eastAsiaTheme="minorHAnsi" w:hAnsi="Garamond"/>
          <w:i/>
          <w:iCs/>
          <w:color w:val="000000"/>
          <w:sz w:val="24"/>
          <w:szCs w:val="24"/>
          <w14:ligatures w14:val="standardContextual"/>
        </w:rPr>
        <w:t>Co</w:t>
      </w:r>
      <w:proofErr w:type="spellEnd"/>
      <w:r w:rsidRPr="00543A29">
        <w:rPr>
          <w:rFonts w:ascii="Garamond" w:eastAsiaTheme="minorHAnsi" w:hAnsi="Garamond"/>
          <w:i/>
          <w:iCs/>
          <w:color w:val="000000"/>
          <w:sz w:val="24"/>
          <w:szCs w:val="24"/>
          <w14:ligatures w14:val="standardContextual"/>
        </w:rPr>
        <w:t xml:space="preserve"> </w:t>
      </w:r>
      <w:proofErr w:type="spellStart"/>
      <w:r w:rsidR="005F7DCF">
        <w:rPr>
          <w:rFonts w:ascii="Garamond" w:eastAsiaTheme="minorHAnsi" w:hAnsi="Garamond"/>
          <w:i/>
          <w:iCs/>
          <w:color w:val="000000"/>
          <w:sz w:val="24"/>
          <w:szCs w:val="24"/>
          <w14:ligatures w14:val="standardContextual"/>
        </w:rPr>
        <w:t>s</w:t>
      </w:r>
      <w:r w:rsidRPr="00543A29">
        <w:rPr>
          <w:rFonts w:ascii="Garamond" w:eastAsiaTheme="minorHAnsi" w:hAnsi="Garamond"/>
          <w:i/>
          <w:iCs/>
          <w:color w:val="000000"/>
          <w:sz w:val="24"/>
          <w:szCs w:val="24"/>
          <w14:ligatures w14:val="standardContextual"/>
        </w:rPr>
        <w:t>h.p.k</w:t>
      </w:r>
      <w:proofErr w:type="spellEnd"/>
      <w:r w:rsidRPr="00543A29">
        <w:rPr>
          <w:rFonts w:ascii="Garamond" w:eastAsiaTheme="minorHAnsi" w:hAnsi="Garamond"/>
          <w:i/>
          <w:iCs/>
          <w:color w:val="000000"/>
          <w:sz w:val="24"/>
          <w:szCs w:val="24"/>
          <w14:ligatures w14:val="standardContextual"/>
        </w:rPr>
        <w:t>. kundër Shqipërisë</w:t>
      </w:r>
      <w:r w:rsidRPr="00543A29">
        <w:rPr>
          <w:rFonts w:ascii="Garamond" w:eastAsiaTheme="minorHAnsi" w:hAnsi="Garamond"/>
          <w:color w:val="000000"/>
          <w:sz w:val="24"/>
          <w:szCs w:val="24"/>
          <w14:ligatures w14:val="standardContextual"/>
        </w:rPr>
        <w:t xml:space="preserve">, nr. 54268/00, 18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ëntor 2004, dhe </w:t>
      </w:r>
      <w:proofErr w:type="spellStart"/>
      <w:r w:rsidRPr="00543A29">
        <w:rPr>
          <w:rFonts w:ascii="Garamond" w:eastAsiaTheme="minorHAnsi" w:hAnsi="Garamond"/>
          <w:i/>
          <w:iCs/>
          <w:color w:val="000000"/>
          <w:sz w:val="24"/>
          <w:szCs w:val="24"/>
          <w14:ligatures w14:val="standardContextual"/>
        </w:rPr>
        <w:t>Gjyli</w:t>
      </w:r>
      <w:proofErr w:type="spellEnd"/>
      <w:r w:rsidRPr="00543A29">
        <w:rPr>
          <w:rFonts w:ascii="Garamond" w:eastAsiaTheme="minorHAnsi" w:hAnsi="Garamond"/>
          <w:i/>
          <w:iCs/>
          <w:color w:val="000000"/>
          <w:sz w:val="24"/>
          <w:szCs w:val="24"/>
          <w14:ligatures w14:val="standardContextual"/>
        </w:rPr>
        <w:t xml:space="preserve"> kundër Shqipërisë</w:t>
      </w:r>
      <w:r w:rsidRPr="00543A29">
        <w:rPr>
          <w:rFonts w:ascii="Garamond" w:eastAsiaTheme="minorHAnsi" w:hAnsi="Garamond"/>
          <w:color w:val="000000"/>
          <w:sz w:val="24"/>
          <w:szCs w:val="24"/>
          <w14:ligatures w14:val="standardContextual"/>
        </w:rPr>
        <w:t xml:space="preserve">, nr. 32907/07, 29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 xml:space="preserve">htator 2009, Gjykata kishte konstatuar shkelje në lidhje me problematika të ngjashme si ato në çështjen konkrete. Së fundmi, </w:t>
      </w:r>
      <w:proofErr w:type="spellStart"/>
      <w:r w:rsidRPr="00543A29">
        <w:rPr>
          <w:rFonts w:ascii="Garamond" w:eastAsiaTheme="minorHAnsi" w:hAnsi="Garamond"/>
          <w:i/>
          <w:iCs/>
          <w:color w:val="000000"/>
          <w:sz w:val="24"/>
          <w:szCs w:val="24"/>
          <w14:ligatures w14:val="standardContextual"/>
        </w:rPr>
        <w:t>Elgakoti</w:t>
      </w:r>
      <w:proofErr w:type="spellEnd"/>
      <w:r w:rsidRPr="00543A29">
        <w:rPr>
          <w:rFonts w:ascii="Garamond" w:eastAsiaTheme="minorHAnsi" w:hAnsi="Garamond"/>
          <w:i/>
          <w:iCs/>
          <w:color w:val="000000"/>
          <w:sz w:val="24"/>
          <w:szCs w:val="24"/>
          <w14:ligatures w14:val="standardContextual"/>
        </w:rPr>
        <w:t xml:space="preserve"> </w:t>
      </w:r>
      <w:proofErr w:type="spellStart"/>
      <w:r w:rsidR="005F7DCF">
        <w:rPr>
          <w:rFonts w:ascii="Garamond" w:eastAsiaTheme="minorHAnsi" w:hAnsi="Garamond"/>
          <w:i/>
          <w:iCs/>
          <w:color w:val="000000"/>
          <w:sz w:val="24"/>
          <w:szCs w:val="24"/>
          <w14:ligatures w14:val="standardContextual"/>
        </w:rPr>
        <w:t>s</w:t>
      </w:r>
      <w:r w:rsidRPr="00543A29">
        <w:rPr>
          <w:rFonts w:ascii="Garamond" w:eastAsiaTheme="minorHAnsi" w:hAnsi="Garamond"/>
          <w:i/>
          <w:iCs/>
          <w:color w:val="000000"/>
          <w:sz w:val="24"/>
          <w:szCs w:val="24"/>
          <w14:ligatures w14:val="standardContextual"/>
        </w:rPr>
        <w:t>h.p.k</w:t>
      </w:r>
      <w:proofErr w:type="spellEnd"/>
      <w:r w:rsidRPr="00543A29">
        <w:rPr>
          <w:rFonts w:ascii="Garamond" w:eastAsiaTheme="minorHAnsi" w:hAnsi="Garamond"/>
          <w:i/>
          <w:iCs/>
          <w:color w:val="000000"/>
          <w:sz w:val="24"/>
          <w:szCs w:val="24"/>
          <w14:ligatures w14:val="standardContextual"/>
        </w:rPr>
        <w:t>. dhe të Tjerë kundër Shqipërisë</w:t>
      </w:r>
      <w:r w:rsidRPr="00543A29">
        <w:rPr>
          <w:rFonts w:ascii="Garamond" w:eastAsiaTheme="minorHAnsi" w:hAnsi="Garamond"/>
          <w:color w:val="000000"/>
          <w:sz w:val="24"/>
          <w:szCs w:val="24"/>
          <w14:ligatures w14:val="standardContextual"/>
        </w:rPr>
        <w:t xml:space="preserve"> [Komiteti], nr. 63986/10 dhe 5 të tjerë, 6 </w:t>
      </w:r>
      <w:r w:rsidR="00543A29">
        <w:rPr>
          <w:rFonts w:ascii="Garamond" w:eastAsiaTheme="minorHAnsi" w:hAnsi="Garamond"/>
          <w:color w:val="000000"/>
          <w:sz w:val="24"/>
          <w:szCs w:val="24"/>
          <w14:ligatures w14:val="standardContextual"/>
        </w:rPr>
        <w:t>k</w:t>
      </w:r>
      <w:r w:rsidRPr="00543A29">
        <w:rPr>
          <w:rFonts w:ascii="Garamond" w:eastAsiaTheme="minorHAnsi" w:hAnsi="Garamond"/>
          <w:color w:val="000000"/>
          <w:sz w:val="24"/>
          <w:szCs w:val="24"/>
          <w14:ligatures w14:val="standardContextual"/>
        </w:rPr>
        <w:t>orrik 2023, Gjykata thekson parimet e parashikuara në lidhje me ekzekutimin e vonuar ose mosekzekutimin e vendimeve vendase në çështjet e punësimit në Shqipëri.</w:t>
      </w:r>
    </w:p>
    <w:p w14:paraId="2F645A9A" w14:textId="5ECC0262"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10. Pasi shqyrtoi të gjitha materialet e dorëzuara pranë saj, Gjykata nuk ka konstatuar ndonjë fakt apo argument që të mund ta detyrojë të marrë një vendim të ndryshëm nga vendimi cituar më sipër. Duke marrë në konsideratë praktikën e saj gjyqësore mbi këtë subjekt, Gjykata vlerëson se në çështjet konkrete autoritetet nuk bënë të gjitha përpjekjet e nevojshme për të ekzekutuar plotësisht dhe/ose në kohën e duhur vendimet në favor të kërkuesve.</w:t>
      </w:r>
    </w:p>
    <w:p w14:paraId="37F48CD4" w14:textId="42442F2E"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11. Në këtë mënyrë, këto kërkesa janë të pranueshme dhe konstatojnë një shkelje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enit 6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të Konventës.</w:t>
      </w:r>
    </w:p>
    <w:p w14:paraId="073DC05B" w14:textId="2096596D"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IV. PRETENDIME PËR SHKELJE TË TJERA NË MBËSHTETJE TË PRAKTIKËS GJYQËSORE TË KONSOLIDUAR </w:t>
      </w:r>
    </w:p>
    <w:p w14:paraId="63FFC870" w14:textId="17F36655"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12. Në kërkesën nr. 35321/11, kërkuesi u ankua edhe në mbështetje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enit 13 për mungesën e mjeteve efektive në procedurat e ekzekutimit. Kërkuesja</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në kërkesën nr. 6932/15</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u ankua edhe në mbështetje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enit 1</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të Protokollit 1</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për mosekzekutimin dhe ekzekutimin e vonuar të vendimeve vendase në favor të saj. Duke pasur në konsideratë faktet e çështjes, parashtrimet e palëve, dhe konstatimet e saj më sipër, Gjykata vlerëson se ajo ka shqyrtuar çështjen kryesore juridike të ngritur në kërkesat konkrete. Ajo gjykon se nuk është nevoja për një vendim të veçantë për këto ankesa (shih </w:t>
      </w:r>
      <w:r w:rsidRPr="00543A29">
        <w:rPr>
          <w:rFonts w:ascii="Garamond" w:eastAsiaTheme="minorHAnsi" w:hAnsi="Garamond"/>
          <w:i/>
          <w:iCs/>
          <w:color w:val="000000"/>
          <w:sz w:val="24"/>
          <w:szCs w:val="24"/>
          <w14:ligatures w14:val="standardContextual"/>
        </w:rPr>
        <w:t xml:space="preserve">Qendra për Burimet Juridike në emër të </w:t>
      </w:r>
      <w:proofErr w:type="spellStart"/>
      <w:r w:rsidRPr="00543A29">
        <w:rPr>
          <w:rFonts w:ascii="Garamond" w:eastAsiaTheme="minorHAnsi" w:hAnsi="Garamond"/>
          <w:i/>
          <w:iCs/>
          <w:color w:val="000000"/>
          <w:sz w:val="24"/>
          <w:szCs w:val="24"/>
          <w14:ligatures w14:val="standardContextual"/>
        </w:rPr>
        <w:t>Valentin</w:t>
      </w:r>
      <w:proofErr w:type="spellEnd"/>
      <w:r w:rsidRPr="00543A29">
        <w:rPr>
          <w:rFonts w:ascii="Garamond" w:eastAsiaTheme="minorHAnsi" w:hAnsi="Garamond"/>
          <w:i/>
          <w:iCs/>
          <w:color w:val="000000"/>
          <w:sz w:val="24"/>
          <w:szCs w:val="24"/>
          <w14:ligatures w14:val="standardContextual"/>
        </w:rPr>
        <w:t xml:space="preserve"> </w:t>
      </w:r>
      <w:proofErr w:type="spellStart"/>
      <w:r w:rsidRPr="00543A29">
        <w:rPr>
          <w:rFonts w:ascii="Garamond" w:eastAsiaTheme="minorHAnsi" w:hAnsi="Garamond"/>
          <w:i/>
          <w:iCs/>
          <w:color w:val="000000"/>
          <w:sz w:val="24"/>
          <w:szCs w:val="24"/>
          <w14:ligatures w14:val="standardContextual"/>
        </w:rPr>
        <w:t>Cãmpeanu</w:t>
      </w:r>
      <w:proofErr w:type="spellEnd"/>
      <w:r w:rsidRPr="00543A29">
        <w:rPr>
          <w:rFonts w:ascii="Garamond" w:eastAsiaTheme="minorHAnsi" w:hAnsi="Garamond"/>
          <w:i/>
          <w:iCs/>
          <w:color w:val="000000"/>
          <w:sz w:val="24"/>
          <w:szCs w:val="24"/>
          <w14:ligatures w14:val="standardContextual"/>
        </w:rPr>
        <w:t xml:space="preserve"> kundër Rumanisë</w:t>
      </w:r>
      <w:r w:rsidRPr="00543A29">
        <w:rPr>
          <w:rFonts w:ascii="Garamond" w:eastAsiaTheme="minorHAnsi" w:hAnsi="Garamond"/>
          <w:color w:val="000000"/>
          <w:sz w:val="24"/>
          <w:szCs w:val="24"/>
          <w14:ligatures w14:val="standardContextual"/>
        </w:rPr>
        <w:t xml:space="preserve"> [DHM], nr. 47848/08,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156, GJEDNJ 2014 dhe </w:t>
      </w:r>
      <w:proofErr w:type="spellStart"/>
      <w:r w:rsidRPr="00543A29">
        <w:rPr>
          <w:rFonts w:ascii="Garamond" w:eastAsiaTheme="minorHAnsi" w:hAnsi="Garamond"/>
          <w:i/>
          <w:iCs/>
          <w:color w:val="000000"/>
          <w:sz w:val="24"/>
          <w:szCs w:val="24"/>
          <w14:ligatures w14:val="standardContextual"/>
        </w:rPr>
        <w:t>Habilaj</w:t>
      </w:r>
      <w:proofErr w:type="spellEnd"/>
      <w:r w:rsidRPr="00543A29">
        <w:rPr>
          <w:rFonts w:ascii="Garamond" w:eastAsiaTheme="minorHAnsi" w:hAnsi="Garamond"/>
          <w:i/>
          <w:iCs/>
          <w:color w:val="000000"/>
          <w:sz w:val="24"/>
          <w:szCs w:val="24"/>
          <w14:ligatures w14:val="standardContextual"/>
        </w:rPr>
        <w:t xml:space="preserve"> kundër Shqipërisë</w:t>
      </w:r>
      <w:r w:rsidRPr="00543A29">
        <w:rPr>
          <w:rFonts w:ascii="Garamond" w:eastAsiaTheme="minorHAnsi" w:hAnsi="Garamond"/>
          <w:color w:val="000000"/>
          <w:sz w:val="24"/>
          <w:szCs w:val="24"/>
          <w14:ligatures w14:val="standardContextual"/>
        </w:rPr>
        <w:t xml:space="preserve"> [Komiteti], nr. 2480/10,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14, 15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 xml:space="preserve">htator 2022). </w:t>
      </w:r>
    </w:p>
    <w:p w14:paraId="70750BCB" w14:textId="5CBD7553"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V. NENI 41 I KONVENTËS PARASHIKON: </w:t>
      </w:r>
    </w:p>
    <w:p w14:paraId="55C6BF0F"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14:paraId="4284129D" w14:textId="11ADDF4E"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13. Në lidhje me kërkesën nr. 63975/10, palët nuk kanë depozituar informacione të përditësuara për shlyerjen e pagave të prapambetura sipas vendimit të dhënë nga Komisioni dhe më pas i mbështetur edhe në vendimin e Gjykatës Kushtetuese. Për këtë arsye, Gjykata e vlerëson të përshtatshme që të urdhërojë ekzekutimin e plotë të vendimit në lidhje me pagat që do të duhej t’i paguheshin kërkueses që nga data e shkarkimit të saj më 27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 xml:space="preserve">htator 2007 deri në rikthimin e saj më 10 </w:t>
      </w:r>
      <w:r w:rsidR="00543A29">
        <w:rPr>
          <w:rFonts w:ascii="Garamond" w:eastAsiaTheme="minorHAnsi" w:hAnsi="Garamond"/>
          <w:color w:val="000000"/>
          <w:sz w:val="24"/>
          <w:szCs w:val="24"/>
          <w14:ligatures w14:val="standardContextual"/>
        </w:rPr>
        <w:t>t</w:t>
      </w:r>
      <w:r w:rsidRPr="00543A29">
        <w:rPr>
          <w:rFonts w:ascii="Garamond" w:eastAsiaTheme="minorHAnsi" w:hAnsi="Garamond"/>
          <w:color w:val="000000"/>
          <w:sz w:val="24"/>
          <w:szCs w:val="24"/>
          <w14:ligatures w14:val="standardContextual"/>
        </w:rPr>
        <w:t>etor 2013, minus pagesat që tashmë i janë shlyer kërkueses nga autoritetet vendase sipas vendimit konkret.</w:t>
      </w:r>
    </w:p>
    <w:p w14:paraId="5FCAF955" w14:textId="2AB4AE73"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14. Për sa i përket kërkesës nr. 6932/15, kërkuesja pretendon se nga shkarkimi i saj nga detyra deri në moshën e daljes në pension, paga e saj është rritur disa herë, por autoritetet nuk i kishin paguar indeksimet sipas rritjeve </w:t>
      </w:r>
      <w:proofErr w:type="spellStart"/>
      <w:r w:rsidRPr="00543A29">
        <w:rPr>
          <w:rFonts w:ascii="Garamond" w:eastAsiaTheme="minorHAnsi" w:hAnsi="Garamond"/>
          <w:color w:val="000000"/>
          <w:sz w:val="24"/>
          <w:szCs w:val="24"/>
          <w14:ligatures w14:val="standardContextual"/>
        </w:rPr>
        <w:t>respektive</w:t>
      </w:r>
      <w:proofErr w:type="spellEnd"/>
      <w:r w:rsidRPr="00543A29">
        <w:rPr>
          <w:rFonts w:ascii="Garamond" w:eastAsiaTheme="minorHAnsi" w:hAnsi="Garamond"/>
          <w:color w:val="000000"/>
          <w:sz w:val="24"/>
          <w:szCs w:val="24"/>
          <w14:ligatures w14:val="standardContextual"/>
        </w:rPr>
        <w:t xml:space="preserve">. Gjykata përsërit atë çfarë kishte theksuar tashmë në çështjen </w:t>
      </w:r>
      <w:proofErr w:type="spellStart"/>
      <w:r w:rsidRPr="00543A29">
        <w:rPr>
          <w:rFonts w:ascii="Garamond" w:eastAsiaTheme="minorHAnsi" w:hAnsi="Garamond"/>
          <w:i/>
          <w:iCs/>
          <w:color w:val="000000"/>
          <w:sz w:val="24"/>
          <w:szCs w:val="24"/>
          <w14:ligatures w14:val="standardContextual"/>
        </w:rPr>
        <w:t>Elgakoti</w:t>
      </w:r>
      <w:proofErr w:type="spellEnd"/>
      <w:r w:rsidRPr="00543A29">
        <w:rPr>
          <w:rFonts w:ascii="Garamond" w:eastAsiaTheme="minorHAnsi" w:hAnsi="Garamond"/>
          <w:i/>
          <w:iCs/>
          <w:color w:val="000000"/>
          <w:sz w:val="24"/>
          <w:szCs w:val="24"/>
          <w14:ligatures w14:val="standardContextual"/>
        </w:rPr>
        <w:t xml:space="preserve"> </w:t>
      </w:r>
      <w:proofErr w:type="spellStart"/>
      <w:r w:rsidR="005F7DCF">
        <w:rPr>
          <w:rFonts w:ascii="Garamond" w:eastAsiaTheme="minorHAnsi" w:hAnsi="Garamond"/>
          <w:i/>
          <w:iCs/>
          <w:color w:val="000000"/>
          <w:sz w:val="24"/>
          <w:szCs w:val="24"/>
          <w14:ligatures w14:val="standardContextual"/>
        </w:rPr>
        <w:t>s</w:t>
      </w:r>
      <w:r w:rsidRPr="00543A29">
        <w:rPr>
          <w:rFonts w:ascii="Garamond" w:eastAsiaTheme="minorHAnsi" w:hAnsi="Garamond"/>
          <w:i/>
          <w:iCs/>
          <w:color w:val="000000"/>
          <w:sz w:val="24"/>
          <w:szCs w:val="24"/>
          <w14:ligatures w14:val="standardContextual"/>
        </w:rPr>
        <w:t>h.p.k</w:t>
      </w:r>
      <w:proofErr w:type="spellEnd"/>
      <w:r w:rsidR="005F7DCF">
        <w:rPr>
          <w:rFonts w:ascii="Garamond" w:eastAsiaTheme="minorHAnsi" w:hAnsi="Garamond"/>
          <w:i/>
          <w:iCs/>
          <w:color w:val="000000"/>
          <w:sz w:val="24"/>
          <w:szCs w:val="24"/>
          <w14:ligatures w14:val="standardContextual"/>
        </w:rPr>
        <w:t>.</w:t>
      </w:r>
      <w:r w:rsidRPr="00543A29">
        <w:rPr>
          <w:rFonts w:ascii="Garamond" w:eastAsiaTheme="minorHAnsi" w:hAnsi="Garamond"/>
          <w:i/>
          <w:iCs/>
          <w:color w:val="000000"/>
          <w:sz w:val="24"/>
          <w:szCs w:val="24"/>
          <w14:ligatures w14:val="standardContextual"/>
        </w:rPr>
        <w:t xml:space="preserve"> dhe të Tjerë kundër Shqipërisë, </w:t>
      </w:r>
      <w:r w:rsidRPr="00543A29">
        <w:rPr>
          <w:rFonts w:ascii="Garamond" w:eastAsiaTheme="minorHAnsi" w:hAnsi="Garamond"/>
          <w:color w:val="000000"/>
          <w:sz w:val="24"/>
          <w:szCs w:val="24"/>
          <w14:ligatures w14:val="standardContextual"/>
        </w:rPr>
        <w:t xml:space="preserve">nr. 63986/10 dhe 5 të tjerë,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17, 6 </w:t>
      </w:r>
      <w:r w:rsidR="00543A29">
        <w:rPr>
          <w:rFonts w:ascii="Garamond" w:eastAsiaTheme="minorHAnsi" w:hAnsi="Garamond"/>
          <w:color w:val="000000"/>
          <w:sz w:val="24"/>
          <w:szCs w:val="24"/>
          <w14:ligatures w14:val="standardContextual"/>
        </w:rPr>
        <w:t>k</w:t>
      </w:r>
      <w:r w:rsidRPr="00543A29">
        <w:rPr>
          <w:rFonts w:ascii="Garamond" w:eastAsiaTheme="minorHAnsi" w:hAnsi="Garamond"/>
          <w:color w:val="000000"/>
          <w:sz w:val="24"/>
          <w:szCs w:val="24"/>
          <w14:ligatures w14:val="standardContextual"/>
        </w:rPr>
        <w:t xml:space="preserve">orrik 2023, se kërkuesja ishte rikthyer në detyrë në kohën e duhur, sipas urdhrit të vendimit, ajo do të kishte të drejtën ta merrte pagën të plotë, dhe indeksimi i pagës së saj duhet të konsiderohet si pjesë integrale e vendimmarrjes së gjykatave vendase. Gjithashtu, kjo qasje mbështetet nga parashikimet vendase në Kodin e Punës, sipas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enit 120, sipas së cilave punonjësit kanë të drejtën të përfitojnë automatikisht nga indeksimi. Debitori në procesin e ekzekutimit, që do të thotë autoritetet në çështjen konkrete, do të kundërshtojë shumën që duhet të shlyhet (shih </w:t>
      </w:r>
      <w:proofErr w:type="spellStart"/>
      <w:r w:rsidRPr="00543A29">
        <w:rPr>
          <w:rFonts w:ascii="Garamond" w:eastAsiaTheme="minorHAnsi" w:hAnsi="Garamond"/>
          <w:i/>
          <w:iCs/>
          <w:color w:val="000000"/>
          <w:sz w:val="24"/>
          <w:szCs w:val="24"/>
          <w14:ligatures w14:val="standardContextual"/>
        </w:rPr>
        <w:t>Memishaj</w:t>
      </w:r>
      <w:proofErr w:type="spellEnd"/>
      <w:r w:rsidRPr="00543A29">
        <w:rPr>
          <w:rFonts w:ascii="Garamond" w:eastAsiaTheme="minorHAnsi" w:hAnsi="Garamond"/>
          <w:i/>
          <w:iCs/>
          <w:color w:val="000000"/>
          <w:sz w:val="24"/>
          <w:szCs w:val="24"/>
          <w14:ligatures w14:val="standardContextual"/>
        </w:rPr>
        <w:t xml:space="preserve"> kundër Shqipërisë </w:t>
      </w:r>
      <w:r w:rsidRPr="00543A29">
        <w:rPr>
          <w:rFonts w:ascii="Garamond" w:eastAsiaTheme="minorHAnsi" w:hAnsi="Garamond"/>
          <w:color w:val="000000"/>
          <w:sz w:val="24"/>
          <w:szCs w:val="24"/>
          <w14:ligatures w14:val="standardContextual"/>
        </w:rPr>
        <w:t xml:space="preserve">[Komiteti], nr. 40430/08,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39, 25 </w:t>
      </w:r>
      <w:r w:rsidR="00543A29">
        <w:rPr>
          <w:rFonts w:ascii="Garamond" w:eastAsiaTheme="minorHAnsi" w:hAnsi="Garamond"/>
          <w:color w:val="000000"/>
          <w:sz w:val="24"/>
          <w:szCs w:val="24"/>
          <w14:ligatures w14:val="standardContextual"/>
        </w:rPr>
        <w:t>m</w:t>
      </w:r>
      <w:r w:rsidRPr="00543A29">
        <w:rPr>
          <w:rFonts w:ascii="Garamond" w:eastAsiaTheme="minorHAnsi" w:hAnsi="Garamond"/>
          <w:color w:val="000000"/>
          <w:sz w:val="24"/>
          <w:szCs w:val="24"/>
          <w14:ligatures w14:val="standardContextual"/>
        </w:rPr>
        <w:t xml:space="preserve">ars 2014). </w:t>
      </w:r>
    </w:p>
    <w:p w14:paraId="08CC2C17" w14:textId="1EE35332"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15. Në fund, duke marrë në konsideratë dokumentet në zotërimin e saj dhe praktikën gjyqësore (shih, veçanërisht </w:t>
      </w:r>
      <w:proofErr w:type="spellStart"/>
      <w:r w:rsidRPr="00543A29">
        <w:rPr>
          <w:rFonts w:ascii="Garamond" w:eastAsiaTheme="minorHAnsi" w:hAnsi="Garamond"/>
          <w:i/>
          <w:iCs/>
          <w:color w:val="000000"/>
          <w:sz w:val="24"/>
          <w:szCs w:val="24"/>
          <w14:ligatures w14:val="standardContextual"/>
        </w:rPr>
        <w:t>Qufaj</w:t>
      </w:r>
      <w:proofErr w:type="spellEnd"/>
      <w:r w:rsidRPr="00543A29">
        <w:rPr>
          <w:rFonts w:ascii="Garamond" w:eastAsiaTheme="minorHAnsi" w:hAnsi="Garamond"/>
          <w:i/>
          <w:iCs/>
          <w:color w:val="000000"/>
          <w:sz w:val="24"/>
          <w:szCs w:val="24"/>
          <w14:ligatures w14:val="standardContextual"/>
        </w:rPr>
        <w:t xml:space="preserve"> </w:t>
      </w:r>
      <w:proofErr w:type="spellStart"/>
      <w:r w:rsidRPr="00543A29">
        <w:rPr>
          <w:rFonts w:ascii="Garamond" w:eastAsiaTheme="minorHAnsi" w:hAnsi="Garamond"/>
          <w:i/>
          <w:iCs/>
          <w:color w:val="000000"/>
          <w:sz w:val="24"/>
          <w:szCs w:val="24"/>
          <w14:ligatures w14:val="standardContextual"/>
        </w:rPr>
        <w:t>Co</w:t>
      </w:r>
      <w:proofErr w:type="spellEnd"/>
      <w:r w:rsidRPr="00543A29">
        <w:rPr>
          <w:rFonts w:ascii="Garamond" w:eastAsiaTheme="minorHAnsi" w:hAnsi="Garamond"/>
          <w:i/>
          <w:iCs/>
          <w:color w:val="000000"/>
          <w:sz w:val="24"/>
          <w:szCs w:val="24"/>
          <w14:ligatures w14:val="standardContextual"/>
        </w:rPr>
        <w:t xml:space="preserve">. </w:t>
      </w:r>
      <w:proofErr w:type="spellStart"/>
      <w:r w:rsidR="005F7DCF">
        <w:rPr>
          <w:rFonts w:ascii="Garamond" w:eastAsiaTheme="minorHAnsi" w:hAnsi="Garamond"/>
          <w:i/>
          <w:iCs/>
          <w:color w:val="000000"/>
          <w:sz w:val="24"/>
          <w:szCs w:val="24"/>
          <w14:ligatures w14:val="standardContextual"/>
        </w:rPr>
        <w:t>s</w:t>
      </w:r>
      <w:r w:rsidRPr="00543A29">
        <w:rPr>
          <w:rFonts w:ascii="Garamond" w:eastAsiaTheme="minorHAnsi" w:hAnsi="Garamond"/>
          <w:i/>
          <w:iCs/>
          <w:color w:val="000000"/>
          <w:sz w:val="24"/>
          <w:szCs w:val="24"/>
          <w14:ligatures w14:val="standardContextual"/>
        </w:rPr>
        <w:t>h.p.k</w:t>
      </w:r>
      <w:proofErr w:type="spellEnd"/>
      <w:r w:rsidR="005F7DCF">
        <w:rPr>
          <w:rFonts w:ascii="Garamond" w:eastAsiaTheme="minorHAnsi" w:hAnsi="Garamond"/>
          <w:i/>
          <w:iCs/>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cituar më sipër,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46</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48, dhe </w:t>
      </w:r>
      <w:proofErr w:type="spellStart"/>
      <w:r w:rsidRPr="00543A29">
        <w:rPr>
          <w:rFonts w:ascii="Garamond" w:eastAsiaTheme="minorHAnsi" w:hAnsi="Garamond"/>
          <w:i/>
          <w:iCs/>
          <w:color w:val="000000"/>
          <w:sz w:val="24"/>
          <w:szCs w:val="24"/>
          <w14:ligatures w14:val="standardContextual"/>
        </w:rPr>
        <w:t>Gjyli</w:t>
      </w:r>
      <w:proofErr w:type="spellEnd"/>
      <w:r w:rsidRPr="00543A29">
        <w:rPr>
          <w:rFonts w:ascii="Garamond" w:eastAsiaTheme="minorHAnsi" w:hAnsi="Garamond"/>
          <w:color w:val="000000"/>
          <w:sz w:val="24"/>
          <w:szCs w:val="24"/>
          <w14:ligatures w14:val="standardContextual"/>
        </w:rPr>
        <w:t xml:space="preserve">, gjithashtu cituar më sipër,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62</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76), Gjykata e vlerëson të arsyeshme që t’i akordojë kërkuesve shumat për dëmin </w:t>
      </w:r>
      <w:proofErr w:type="spellStart"/>
      <w:r w:rsidRPr="00543A29">
        <w:rPr>
          <w:rFonts w:ascii="Garamond" w:eastAsiaTheme="minorHAnsi" w:hAnsi="Garamond"/>
          <w:color w:val="000000"/>
          <w:sz w:val="24"/>
          <w:szCs w:val="24"/>
          <w14:ligatures w14:val="standardContextual"/>
        </w:rPr>
        <w:t>jopasuror</w:t>
      </w:r>
      <w:proofErr w:type="spellEnd"/>
      <w:r w:rsidRPr="00543A29">
        <w:rPr>
          <w:rFonts w:ascii="Garamond" w:eastAsiaTheme="minorHAnsi" w:hAnsi="Garamond"/>
          <w:color w:val="000000"/>
          <w:sz w:val="24"/>
          <w:szCs w:val="24"/>
          <w14:ligatures w14:val="standardContextual"/>
        </w:rPr>
        <w:t xml:space="preserve"> dhe kostot</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dhe shpenzimet të përcaktuara në tabelën bashkëlidhur.</w:t>
      </w:r>
    </w:p>
    <w:p w14:paraId="4FCB491C"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PËR KËTO ARSYE, GJYKATA, NË MËNYRË UNANIME, </w:t>
      </w:r>
    </w:p>
    <w:p w14:paraId="2A0C5753" w14:textId="5CF1F4AD"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 xml:space="preserve">1. Vendos </w:t>
      </w:r>
      <w:r w:rsidRPr="00543A29">
        <w:rPr>
          <w:rFonts w:ascii="Garamond" w:eastAsiaTheme="minorHAnsi" w:hAnsi="Garamond"/>
          <w:color w:val="000000"/>
          <w:sz w:val="24"/>
          <w:szCs w:val="24"/>
          <w14:ligatures w14:val="standardContextual"/>
        </w:rPr>
        <w:t xml:space="preserve">t’i bashkojë kërkesat; </w:t>
      </w:r>
    </w:p>
    <w:p w14:paraId="367ED5EF"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3AE1EFF1" w14:textId="67A1C21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lastRenderedPageBreak/>
        <w:t xml:space="preserve">2. Kundërshton </w:t>
      </w:r>
      <w:r w:rsidRPr="00543A29">
        <w:rPr>
          <w:rFonts w:ascii="Garamond" w:eastAsiaTheme="minorHAnsi" w:hAnsi="Garamond"/>
          <w:color w:val="000000"/>
          <w:sz w:val="24"/>
          <w:szCs w:val="24"/>
          <w14:ligatures w14:val="standardContextual"/>
        </w:rPr>
        <w:t xml:space="preserve">kërkesën e </w:t>
      </w:r>
      <w:r w:rsidR="00543A29">
        <w:rPr>
          <w:rFonts w:ascii="Garamond" w:eastAsiaTheme="minorHAnsi" w:hAnsi="Garamond"/>
          <w:color w:val="000000"/>
          <w:sz w:val="24"/>
          <w:szCs w:val="24"/>
          <w14:ligatures w14:val="standardContextual"/>
        </w:rPr>
        <w:t>q</w:t>
      </w:r>
      <w:r w:rsidRPr="00543A29">
        <w:rPr>
          <w:rFonts w:ascii="Garamond" w:eastAsiaTheme="minorHAnsi" w:hAnsi="Garamond"/>
          <w:color w:val="000000"/>
          <w:sz w:val="24"/>
          <w:szCs w:val="24"/>
          <w14:ligatures w14:val="standardContextual"/>
        </w:rPr>
        <w:t>everisë për të çregjistruar kërkesën nr. 6932/15 nga lista;</w:t>
      </w:r>
    </w:p>
    <w:p w14:paraId="17FD2BCF" w14:textId="1AC03A72"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3. I shpall</w:t>
      </w:r>
      <w:r w:rsidRPr="00543A29">
        <w:rPr>
          <w:rFonts w:ascii="Garamond" w:eastAsiaTheme="minorHAnsi" w:hAnsi="Garamond"/>
          <w:color w:val="000000"/>
          <w:sz w:val="24"/>
          <w:szCs w:val="24"/>
          <w14:ligatures w14:val="standardContextual"/>
        </w:rPr>
        <w:t xml:space="preserve"> ankesat në lidhje me mosekzekutimin ose ekzekutimin e vonuar të vendimeve vendase sipas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enit 6 të Konventës të pranueshme, dhe </w:t>
      </w:r>
      <w:r w:rsidRPr="00543A29">
        <w:rPr>
          <w:rFonts w:ascii="Garamond" w:eastAsiaTheme="minorHAnsi" w:hAnsi="Garamond"/>
          <w:i/>
          <w:iCs/>
          <w:color w:val="000000"/>
          <w:sz w:val="24"/>
          <w:szCs w:val="24"/>
          <w14:ligatures w14:val="standardContextual"/>
        </w:rPr>
        <w:t>vendos</w:t>
      </w:r>
      <w:r w:rsidRPr="00543A29">
        <w:rPr>
          <w:rFonts w:ascii="Garamond" w:eastAsiaTheme="minorHAnsi" w:hAnsi="Garamond"/>
          <w:color w:val="000000"/>
          <w:sz w:val="24"/>
          <w:szCs w:val="24"/>
          <w14:ligatures w14:val="standardContextual"/>
        </w:rPr>
        <w:t xml:space="preserve"> se nuk është e nevojshme që të shqyrtohen ankesat e tjera;</w:t>
      </w:r>
    </w:p>
    <w:p w14:paraId="4B59F3F5" w14:textId="3E6F1098"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 xml:space="preserve">4. Gjykon </w:t>
      </w:r>
      <w:r w:rsidRPr="00543A29">
        <w:rPr>
          <w:rFonts w:ascii="Garamond" w:eastAsiaTheme="minorHAnsi" w:hAnsi="Garamond"/>
          <w:color w:val="000000"/>
          <w:sz w:val="24"/>
          <w:szCs w:val="24"/>
          <w14:ligatures w14:val="standardContextual"/>
        </w:rPr>
        <w:t xml:space="preserve">se këto ankesa konstatojnë shkelje të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enit 6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1 të Konventës</w:t>
      </w:r>
      <w:r w:rsidR="00543A29">
        <w:rPr>
          <w:rFonts w:ascii="Garamond" w:eastAsiaTheme="minorHAnsi" w:hAnsi="Garamond"/>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në lidhje me mosekzekutimin ose ekzekutimin e vonuar të vendimeve vendase; </w:t>
      </w:r>
    </w:p>
    <w:p w14:paraId="38B492B3" w14:textId="3212AA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 xml:space="preserve">5. Gjykon </w:t>
      </w:r>
      <w:r w:rsidRPr="00543A29">
        <w:rPr>
          <w:rFonts w:ascii="Garamond" w:eastAsiaTheme="minorHAnsi" w:hAnsi="Garamond"/>
          <w:color w:val="000000"/>
          <w:sz w:val="24"/>
          <w:szCs w:val="24"/>
          <w14:ligatures w14:val="standardContextual"/>
        </w:rPr>
        <w:t xml:space="preserve"> se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hteti përgjegjës duhet të ofrojë, me anë të mjeteve të duhura, brenda tre muajve, ekzekutimin e vendimeve vendase që janë në pritje, referuar në tabelën bashkëlidhur, duke marrë në konsideratë edhe gjetjet e Gjykatës në paragrafët 13 dhe 14 më sipër;</w:t>
      </w:r>
    </w:p>
    <w:p w14:paraId="1DE16925" w14:textId="33179D08"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i/>
          <w:iCs/>
          <w:color w:val="000000"/>
          <w:sz w:val="24"/>
          <w:szCs w:val="24"/>
          <w14:ligatures w14:val="standardContextual"/>
        </w:rPr>
        <w:t>6. Gjykon</w:t>
      </w:r>
    </w:p>
    <w:p w14:paraId="6B8B6EC8" w14:textId="67A856D6"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a) se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 xml:space="preserve">hteti përgjegjës duhet t’i paguajë kërkuesve, brenda tre muajve, shumat e përcaktuara në tabelën bashkëlidhur, të konvertuara në monedhën e </w:t>
      </w:r>
      <w:r w:rsidR="00543A29">
        <w:rPr>
          <w:rFonts w:ascii="Garamond" w:eastAsiaTheme="minorHAnsi" w:hAnsi="Garamond"/>
          <w:color w:val="000000"/>
          <w:sz w:val="24"/>
          <w:szCs w:val="24"/>
          <w14:ligatures w14:val="standardContextual"/>
        </w:rPr>
        <w:t>s</w:t>
      </w:r>
      <w:r w:rsidRPr="00543A29">
        <w:rPr>
          <w:rFonts w:ascii="Garamond" w:eastAsiaTheme="minorHAnsi" w:hAnsi="Garamond"/>
          <w:color w:val="000000"/>
          <w:sz w:val="24"/>
          <w:szCs w:val="24"/>
          <w14:ligatures w14:val="standardContextual"/>
        </w:rPr>
        <w:t xml:space="preserve">htetit përgjegjës në normën e zbatueshme në datën e shlyerjes; </w:t>
      </w:r>
    </w:p>
    <w:p w14:paraId="5F25E44B" w14:textId="7F8C0AE9"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b) se nga përfundimi i periudhës tremujore të sipërpërmendur deri në shlyerje, për shumat e mësipërme do të paguhet interes i thjeshtë në normën e barasvlershme me normën margjinale të huadhënies së Bankës Qendrore Evropiane gjatë periudhës së </w:t>
      </w:r>
      <w:proofErr w:type="spellStart"/>
      <w:r w:rsidRPr="00543A29">
        <w:rPr>
          <w:rFonts w:ascii="Garamond" w:eastAsiaTheme="minorHAnsi" w:hAnsi="Garamond"/>
          <w:color w:val="000000"/>
          <w:sz w:val="24"/>
          <w:szCs w:val="24"/>
          <w14:ligatures w14:val="standardContextual"/>
        </w:rPr>
        <w:t>mosshlyerjes</w:t>
      </w:r>
      <w:proofErr w:type="spellEnd"/>
      <w:r w:rsidRPr="00543A29">
        <w:rPr>
          <w:rFonts w:ascii="Garamond" w:eastAsiaTheme="minorHAnsi" w:hAnsi="Garamond"/>
          <w:color w:val="000000"/>
          <w:sz w:val="24"/>
          <w:szCs w:val="24"/>
          <w14:ligatures w14:val="standardContextual"/>
        </w:rPr>
        <w:t xml:space="preserve"> së pagesës plus tre pikë përqindje.</w:t>
      </w:r>
    </w:p>
    <w:p w14:paraId="14A45567" w14:textId="77777777" w:rsidR="00543A29" w:rsidRDefault="00E907D0" w:rsidP="00E907D0">
      <w:pPr>
        <w:autoSpaceDE w:val="0"/>
        <w:autoSpaceDN w:val="0"/>
        <w:adjustRightInd w:val="0"/>
        <w:spacing w:after="0" w:line="240" w:lineRule="auto"/>
        <w:ind w:firstLine="284"/>
        <w:jc w:val="both"/>
        <w:rPr>
          <w:rFonts w:ascii="Garamond" w:eastAsiaTheme="minorHAnsi" w:hAnsi="Garamond"/>
          <w:b/>
          <w:color w:val="000000"/>
          <w:sz w:val="24"/>
          <w:szCs w:val="24"/>
          <w14:ligatures w14:val="standardContextual"/>
        </w:rPr>
      </w:pPr>
      <w:r w:rsidRPr="00543A29">
        <w:rPr>
          <w:rFonts w:ascii="Garamond" w:eastAsiaTheme="minorHAnsi" w:hAnsi="Garamond"/>
          <w:color w:val="000000"/>
          <w:sz w:val="24"/>
          <w:szCs w:val="24"/>
          <w14:ligatures w14:val="standardContextual"/>
        </w:rPr>
        <w:t xml:space="preserve">Hartuar në gjuhën angleze dhe njoftuar me shkrim më datë 30 </w:t>
      </w:r>
      <w:r w:rsidR="00543A29">
        <w:rPr>
          <w:rFonts w:ascii="Garamond" w:eastAsiaTheme="minorHAnsi" w:hAnsi="Garamond"/>
          <w:color w:val="000000"/>
          <w:sz w:val="24"/>
          <w:szCs w:val="24"/>
          <w14:ligatures w14:val="standardContextual"/>
        </w:rPr>
        <w:t>n</w:t>
      </w:r>
      <w:r w:rsidRPr="00543A29">
        <w:rPr>
          <w:rFonts w:ascii="Garamond" w:eastAsiaTheme="minorHAnsi" w:hAnsi="Garamond"/>
          <w:color w:val="000000"/>
          <w:sz w:val="24"/>
          <w:szCs w:val="24"/>
          <w14:ligatures w14:val="standardContextual"/>
        </w:rPr>
        <w:t xml:space="preserve">ëntor 2023, sipas </w:t>
      </w:r>
      <w:r w:rsidR="00543A29">
        <w:rPr>
          <w:rFonts w:ascii="Garamond" w:eastAsiaTheme="minorHAnsi" w:hAnsi="Garamond"/>
          <w:color w:val="000000"/>
          <w:sz w:val="24"/>
          <w:szCs w:val="24"/>
          <w14:ligatures w14:val="standardContextual"/>
        </w:rPr>
        <w:t>r</w:t>
      </w:r>
      <w:r w:rsidRPr="00543A29">
        <w:rPr>
          <w:rFonts w:ascii="Garamond" w:eastAsiaTheme="minorHAnsi" w:hAnsi="Garamond"/>
          <w:color w:val="000000"/>
          <w:sz w:val="24"/>
          <w:szCs w:val="24"/>
          <w14:ligatures w14:val="standardContextual"/>
        </w:rPr>
        <w:t xml:space="preserve">regullit 77 </w:t>
      </w:r>
      <w:r w:rsidR="00543A29" w:rsidRPr="00543A29">
        <w:rPr>
          <w:rFonts w:ascii="Times New Roman" w:eastAsiaTheme="minorHAnsi" w:hAnsi="Times New Roman"/>
          <w:color w:val="000000"/>
          <w:sz w:val="24"/>
          <w:szCs w:val="24"/>
          <w14:ligatures w14:val="standardContextual"/>
        </w:rPr>
        <w:t>§§</w:t>
      </w:r>
      <w:r w:rsidRPr="00543A29">
        <w:rPr>
          <w:rFonts w:ascii="Garamond" w:eastAsiaTheme="minorHAnsi" w:hAnsi="Garamond"/>
          <w:color w:val="000000"/>
          <w:sz w:val="24"/>
          <w:szCs w:val="24"/>
          <w14:ligatures w14:val="standardContextual"/>
        </w:rPr>
        <w:t xml:space="preserve"> 2 dhe 3 të Rregullores së Gjykatës.</w:t>
      </w:r>
      <w:r w:rsidR="00543A29" w:rsidRPr="00543A29">
        <w:rPr>
          <w:rFonts w:ascii="Garamond" w:eastAsiaTheme="minorHAnsi" w:hAnsi="Garamond"/>
          <w:b/>
          <w:color w:val="000000"/>
          <w:sz w:val="24"/>
          <w:szCs w:val="24"/>
          <w14:ligatures w14:val="standardContextual"/>
        </w:rPr>
        <w:t xml:space="preserve"> </w:t>
      </w:r>
    </w:p>
    <w:p w14:paraId="6D02E656" w14:textId="451C8D1F" w:rsidR="00543A29" w:rsidRDefault="00543A29" w:rsidP="00543A29">
      <w:pPr>
        <w:autoSpaceDE w:val="0"/>
        <w:autoSpaceDN w:val="0"/>
        <w:adjustRightInd w:val="0"/>
        <w:spacing w:after="0" w:line="240" w:lineRule="auto"/>
        <w:jc w:val="right"/>
        <w:rPr>
          <w:rFonts w:ascii="Garamond" w:eastAsiaTheme="minorHAnsi" w:hAnsi="Garamond"/>
          <w:b/>
          <w:color w:val="000000"/>
          <w:sz w:val="24"/>
          <w:szCs w:val="24"/>
          <w14:ligatures w14:val="standardContextual"/>
        </w:rPr>
      </w:pPr>
      <w:r w:rsidRPr="00543A29">
        <w:rPr>
          <w:rFonts w:ascii="Garamond" w:eastAsiaTheme="minorHAnsi" w:hAnsi="Garamond"/>
          <w:color w:val="000000"/>
          <w:sz w:val="24"/>
          <w:szCs w:val="24"/>
          <w14:ligatures w14:val="standardContextual"/>
        </w:rPr>
        <w:t>ZËVENDËSSEKRETARE E PËRKOHSHME</w:t>
      </w:r>
      <w:r w:rsidRPr="00543A29">
        <w:rPr>
          <w:rFonts w:ascii="Garamond" w:eastAsiaTheme="minorHAnsi" w:hAnsi="Garamond"/>
          <w:b/>
          <w:color w:val="000000"/>
          <w:sz w:val="24"/>
          <w:szCs w:val="24"/>
          <w14:ligatures w14:val="standardContextual"/>
        </w:rPr>
        <w:t xml:space="preserve"> </w:t>
      </w:r>
    </w:p>
    <w:p w14:paraId="51D15101" w14:textId="77777777" w:rsidR="00543A29" w:rsidRDefault="00543A29" w:rsidP="00543A29">
      <w:pPr>
        <w:autoSpaceDE w:val="0"/>
        <w:autoSpaceDN w:val="0"/>
        <w:adjustRightInd w:val="0"/>
        <w:spacing w:after="0" w:line="240" w:lineRule="auto"/>
        <w:jc w:val="right"/>
        <w:rPr>
          <w:rFonts w:ascii="Garamond" w:eastAsiaTheme="minorHAnsi" w:hAnsi="Garamond"/>
          <w:color w:val="000000"/>
          <w:sz w:val="24"/>
          <w:szCs w:val="24"/>
          <w14:ligatures w14:val="standardContextual"/>
        </w:rPr>
      </w:pPr>
      <w:proofErr w:type="spellStart"/>
      <w:r w:rsidRPr="00543A29">
        <w:rPr>
          <w:rFonts w:ascii="Garamond" w:eastAsiaTheme="minorHAnsi" w:hAnsi="Garamond"/>
          <w:b/>
          <w:color w:val="000000"/>
          <w:sz w:val="24"/>
          <w:szCs w:val="24"/>
          <w14:ligatures w14:val="standardContextual"/>
        </w:rPr>
        <w:t>Viktoriya</w:t>
      </w:r>
      <w:proofErr w:type="spellEnd"/>
      <w:r w:rsidRPr="00543A29">
        <w:rPr>
          <w:rFonts w:ascii="Garamond" w:eastAsiaTheme="minorHAnsi" w:hAnsi="Garamond"/>
          <w:b/>
          <w:color w:val="000000"/>
          <w:sz w:val="24"/>
          <w:szCs w:val="24"/>
          <w14:ligatures w14:val="standardContextual"/>
        </w:rPr>
        <w:t xml:space="preserve"> </w:t>
      </w:r>
      <w:proofErr w:type="spellStart"/>
      <w:r w:rsidRPr="00543A29">
        <w:rPr>
          <w:rFonts w:ascii="Garamond" w:eastAsiaTheme="minorHAnsi" w:hAnsi="Garamond"/>
          <w:b/>
          <w:color w:val="000000"/>
          <w:sz w:val="24"/>
          <w:szCs w:val="24"/>
          <w14:ligatures w14:val="standardContextual"/>
        </w:rPr>
        <w:t>Maradudina</w:t>
      </w:r>
      <w:proofErr w:type="spellEnd"/>
      <w:r w:rsidRPr="00543A29">
        <w:rPr>
          <w:rFonts w:ascii="Garamond" w:eastAsiaTheme="minorHAnsi" w:hAnsi="Garamond"/>
          <w:color w:val="000000"/>
          <w:sz w:val="24"/>
          <w:szCs w:val="24"/>
          <w14:ligatures w14:val="standardContextual"/>
        </w:rPr>
        <w:t xml:space="preserve"> </w:t>
      </w:r>
    </w:p>
    <w:p w14:paraId="03902408" w14:textId="04AB498E" w:rsidR="00543A29" w:rsidRDefault="00543A29" w:rsidP="00543A29">
      <w:pPr>
        <w:autoSpaceDE w:val="0"/>
        <w:autoSpaceDN w:val="0"/>
        <w:adjustRightInd w:val="0"/>
        <w:spacing w:after="0" w:line="240" w:lineRule="auto"/>
        <w:jc w:val="right"/>
        <w:rPr>
          <w:rFonts w:ascii="Garamond" w:eastAsiaTheme="minorHAnsi" w:hAnsi="Garamond"/>
          <w:color w:val="000000"/>
          <w:sz w:val="24"/>
          <w:szCs w:val="24"/>
          <w14:ligatures w14:val="standardContextual"/>
        </w:rPr>
      </w:pPr>
      <w:r w:rsidRPr="00543A29">
        <w:rPr>
          <w:rFonts w:ascii="Garamond" w:eastAsiaTheme="minorHAnsi" w:hAnsi="Garamond"/>
          <w:color w:val="000000"/>
          <w:sz w:val="24"/>
          <w:szCs w:val="24"/>
          <w14:ligatures w14:val="standardContextual"/>
        </w:rPr>
        <w:t>KRYETAR</w:t>
      </w:r>
    </w:p>
    <w:p w14:paraId="3684C49C" w14:textId="1E7770D6" w:rsidR="00543A29" w:rsidRDefault="00543A29" w:rsidP="00543A29">
      <w:pPr>
        <w:autoSpaceDE w:val="0"/>
        <w:autoSpaceDN w:val="0"/>
        <w:adjustRightInd w:val="0"/>
        <w:spacing w:after="0" w:line="240" w:lineRule="auto"/>
        <w:jc w:val="right"/>
        <w:rPr>
          <w:rFonts w:ascii="Garamond" w:eastAsiaTheme="minorHAnsi" w:hAnsi="Garamond"/>
          <w:color w:val="000000"/>
          <w:sz w:val="24"/>
          <w:szCs w:val="24"/>
          <w14:ligatures w14:val="standardContextual"/>
        </w:rPr>
      </w:pPr>
      <w:proofErr w:type="spellStart"/>
      <w:r w:rsidRPr="00543A29">
        <w:rPr>
          <w:rFonts w:ascii="Garamond" w:eastAsiaTheme="minorHAnsi" w:hAnsi="Garamond"/>
          <w:b/>
          <w:color w:val="000000"/>
          <w:sz w:val="24"/>
          <w:szCs w:val="24"/>
          <w14:ligatures w14:val="standardContextual"/>
        </w:rPr>
        <w:t>Ioannis</w:t>
      </w:r>
      <w:proofErr w:type="spellEnd"/>
      <w:r w:rsidRPr="00543A29">
        <w:rPr>
          <w:rFonts w:ascii="Garamond" w:eastAsiaTheme="minorHAnsi" w:hAnsi="Garamond"/>
          <w:b/>
          <w:color w:val="000000"/>
          <w:sz w:val="24"/>
          <w:szCs w:val="24"/>
          <w14:ligatures w14:val="standardContextual"/>
        </w:rPr>
        <w:t xml:space="preserve"> </w:t>
      </w:r>
      <w:proofErr w:type="spellStart"/>
      <w:r w:rsidRPr="00543A29">
        <w:rPr>
          <w:rFonts w:ascii="Garamond" w:eastAsiaTheme="minorHAnsi" w:hAnsi="Garamond"/>
          <w:b/>
          <w:color w:val="000000"/>
          <w:sz w:val="24"/>
          <w:szCs w:val="24"/>
          <w14:ligatures w14:val="standardContextual"/>
        </w:rPr>
        <w:t>Ktistakis</w:t>
      </w:r>
      <w:proofErr w:type="spellEnd"/>
      <w:r w:rsidRPr="00543A29">
        <w:rPr>
          <w:rFonts w:ascii="Garamond" w:eastAsiaTheme="minorHAnsi" w:hAnsi="Garamond"/>
          <w:color w:val="000000"/>
          <w:sz w:val="24"/>
          <w:szCs w:val="24"/>
          <w14:ligatures w14:val="standardContextual"/>
        </w:rPr>
        <w:t xml:space="preserve"> </w:t>
      </w:r>
    </w:p>
    <w:p w14:paraId="5156F0C4" w14:textId="54956D54"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0F5F6D17" w14:textId="7A945750"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4"/>
      </w:tblGrid>
      <w:tr w:rsidR="00E907D0" w:rsidRPr="00543A29" w14:paraId="0CD9BDF8" w14:textId="77777777" w:rsidTr="00E907D0">
        <w:tc>
          <w:tcPr>
            <w:tcW w:w="2689" w:type="dxa"/>
          </w:tcPr>
          <w:p w14:paraId="17358765" w14:textId="6E982A1C" w:rsidR="00E907D0" w:rsidRPr="00543A29" w:rsidRDefault="00E907D0" w:rsidP="00E907D0">
            <w:pPr>
              <w:autoSpaceDE w:val="0"/>
              <w:autoSpaceDN w:val="0"/>
              <w:adjustRightInd w:val="0"/>
              <w:spacing w:after="0" w:line="240" w:lineRule="auto"/>
              <w:jc w:val="center"/>
              <w:rPr>
                <w:rFonts w:ascii="Garamond" w:eastAsiaTheme="minorHAnsi" w:hAnsi="Garamond"/>
                <w:color w:val="000000"/>
                <w:sz w:val="24"/>
                <w:szCs w:val="24"/>
                <w14:ligatures w14:val="standardContextual"/>
              </w:rPr>
            </w:pPr>
          </w:p>
        </w:tc>
        <w:tc>
          <w:tcPr>
            <w:tcW w:w="1984" w:type="dxa"/>
          </w:tcPr>
          <w:p w14:paraId="7B97E283" w14:textId="4071C243" w:rsidR="00E907D0" w:rsidRPr="00543A29" w:rsidRDefault="00E907D0" w:rsidP="00E907D0">
            <w:pPr>
              <w:autoSpaceDE w:val="0"/>
              <w:autoSpaceDN w:val="0"/>
              <w:adjustRightInd w:val="0"/>
              <w:spacing w:after="0" w:line="240" w:lineRule="auto"/>
              <w:jc w:val="center"/>
              <w:rPr>
                <w:rFonts w:ascii="Garamond" w:eastAsiaTheme="minorHAnsi" w:hAnsi="Garamond"/>
                <w:color w:val="000000"/>
                <w:sz w:val="24"/>
                <w:szCs w:val="24"/>
                <w14:ligatures w14:val="standardContextual"/>
              </w:rPr>
            </w:pPr>
          </w:p>
        </w:tc>
      </w:tr>
    </w:tbl>
    <w:p w14:paraId="27E68276" w14:textId="77777777" w:rsidR="00E907D0" w:rsidRPr="00543A29" w:rsidRDefault="00E907D0" w:rsidP="00E907D0">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26AB13E1" w14:textId="77777777" w:rsidR="00E907D0" w:rsidRPr="00543A29" w:rsidRDefault="00E907D0" w:rsidP="00E907D0">
      <w:pPr>
        <w:pStyle w:val="ECHRPara"/>
        <w:rPr>
          <w:rFonts w:ascii="Garamond" w:hAnsi="Garamond"/>
          <w:bCs/>
          <w:szCs w:val="24"/>
          <w:lang w:val="sq-AL"/>
        </w:rPr>
      </w:pPr>
    </w:p>
    <w:p w14:paraId="358035E7" w14:textId="77777777" w:rsidR="00E907D0" w:rsidRPr="00543A29" w:rsidRDefault="00E907D0" w:rsidP="00E907D0">
      <w:pPr>
        <w:pStyle w:val="ECHRPara"/>
        <w:rPr>
          <w:rFonts w:ascii="Garamond" w:hAnsi="Garamond"/>
          <w:bCs/>
          <w:szCs w:val="24"/>
          <w:lang w:val="sq-AL"/>
        </w:rPr>
      </w:pPr>
    </w:p>
    <w:p w14:paraId="3A21E48E" w14:textId="77777777" w:rsidR="00E907D0" w:rsidRPr="00543A29" w:rsidRDefault="00E907D0" w:rsidP="00E907D0">
      <w:pPr>
        <w:pStyle w:val="ECHRPara"/>
        <w:rPr>
          <w:rFonts w:ascii="Garamond" w:hAnsi="Garamond"/>
          <w:bCs/>
          <w:szCs w:val="24"/>
          <w:lang w:val="sq-AL"/>
        </w:rPr>
      </w:pPr>
    </w:p>
    <w:p w14:paraId="4D2E0A35" w14:textId="77777777" w:rsidR="00E907D0" w:rsidRPr="00543A29" w:rsidRDefault="00E907D0" w:rsidP="00E907D0">
      <w:pPr>
        <w:pStyle w:val="ECHRPara"/>
        <w:rPr>
          <w:rFonts w:ascii="Garamond" w:hAnsi="Garamond"/>
          <w:bCs/>
          <w:szCs w:val="24"/>
          <w:lang w:val="sq-AL"/>
        </w:rPr>
      </w:pPr>
    </w:p>
    <w:p w14:paraId="17BA7BB1" w14:textId="77777777" w:rsidR="00E907D0" w:rsidRPr="00543A29" w:rsidRDefault="00E907D0" w:rsidP="00E907D0">
      <w:pPr>
        <w:pStyle w:val="ECHRPara"/>
        <w:rPr>
          <w:rFonts w:ascii="Garamond" w:hAnsi="Garamond"/>
          <w:bCs/>
          <w:szCs w:val="24"/>
          <w:lang w:val="sq-AL"/>
        </w:rPr>
      </w:pPr>
    </w:p>
    <w:p w14:paraId="5E2B2B30" w14:textId="77777777" w:rsidR="00E907D0" w:rsidRPr="00543A29" w:rsidRDefault="00E907D0" w:rsidP="00E907D0">
      <w:pPr>
        <w:pStyle w:val="ECHRPara"/>
        <w:rPr>
          <w:rFonts w:ascii="Garamond" w:hAnsi="Garamond"/>
          <w:bCs/>
          <w:szCs w:val="24"/>
          <w:lang w:val="sq-AL"/>
        </w:rPr>
      </w:pPr>
    </w:p>
    <w:p w14:paraId="509F20B4" w14:textId="77777777" w:rsidR="00E907D0" w:rsidRPr="00543A29" w:rsidRDefault="00E907D0" w:rsidP="00E907D0">
      <w:pPr>
        <w:pStyle w:val="ECHRPara"/>
        <w:rPr>
          <w:rFonts w:ascii="Garamond" w:hAnsi="Garamond"/>
          <w:bCs/>
          <w:szCs w:val="24"/>
          <w:lang w:val="sq-AL"/>
        </w:rPr>
      </w:pPr>
    </w:p>
    <w:p w14:paraId="09E82AAD" w14:textId="77777777" w:rsidR="00E907D0" w:rsidRPr="00543A29" w:rsidRDefault="00E907D0" w:rsidP="00E907D0">
      <w:pPr>
        <w:pStyle w:val="ECHRPara"/>
        <w:rPr>
          <w:rFonts w:ascii="Garamond" w:hAnsi="Garamond"/>
          <w:bCs/>
          <w:szCs w:val="24"/>
          <w:lang w:val="sq-AL"/>
        </w:rPr>
      </w:pPr>
    </w:p>
    <w:p w14:paraId="3AE9BC45" w14:textId="77777777" w:rsidR="00E907D0" w:rsidRPr="00543A29" w:rsidRDefault="00E907D0" w:rsidP="00E907D0">
      <w:pPr>
        <w:pStyle w:val="ECHRPara"/>
        <w:rPr>
          <w:rFonts w:ascii="Garamond" w:hAnsi="Garamond"/>
          <w:bCs/>
          <w:szCs w:val="24"/>
          <w:lang w:val="sq-AL"/>
        </w:rPr>
      </w:pPr>
    </w:p>
    <w:p w14:paraId="77C4F0B1" w14:textId="77777777" w:rsidR="00E907D0" w:rsidRPr="00543A29" w:rsidRDefault="00E907D0" w:rsidP="00E907D0">
      <w:pPr>
        <w:pStyle w:val="ECHRPara"/>
        <w:rPr>
          <w:rFonts w:ascii="Garamond" w:hAnsi="Garamond"/>
          <w:bCs/>
          <w:szCs w:val="24"/>
          <w:lang w:val="sq-AL"/>
        </w:rPr>
      </w:pPr>
    </w:p>
    <w:p w14:paraId="56893517" w14:textId="77777777" w:rsidR="00E907D0" w:rsidRPr="00543A29" w:rsidRDefault="00E907D0" w:rsidP="00E907D0">
      <w:pPr>
        <w:pStyle w:val="ECHRPara"/>
        <w:rPr>
          <w:rFonts w:ascii="Garamond" w:hAnsi="Garamond"/>
          <w:bCs/>
          <w:szCs w:val="24"/>
          <w:lang w:val="sq-AL"/>
        </w:rPr>
      </w:pPr>
    </w:p>
    <w:p w14:paraId="25BE9658" w14:textId="77777777" w:rsidR="00E907D0" w:rsidRPr="00543A29" w:rsidRDefault="00E907D0" w:rsidP="00E907D0">
      <w:pPr>
        <w:pStyle w:val="ECHRPara"/>
        <w:rPr>
          <w:rFonts w:ascii="Garamond" w:hAnsi="Garamond"/>
          <w:bCs/>
          <w:szCs w:val="24"/>
          <w:lang w:val="sq-AL"/>
        </w:rPr>
      </w:pPr>
    </w:p>
    <w:p w14:paraId="1033DA93" w14:textId="77777777" w:rsidR="00E907D0" w:rsidRPr="00543A29" w:rsidRDefault="00E907D0" w:rsidP="00E907D0">
      <w:pPr>
        <w:pStyle w:val="ECHRPara"/>
        <w:rPr>
          <w:rFonts w:ascii="Garamond" w:hAnsi="Garamond"/>
          <w:bCs/>
          <w:szCs w:val="24"/>
          <w:lang w:val="sq-AL"/>
        </w:rPr>
      </w:pPr>
    </w:p>
    <w:p w14:paraId="47F8C3EA" w14:textId="77777777" w:rsidR="00E907D0" w:rsidRPr="00543A29" w:rsidRDefault="00E907D0" w:rsidP="00E907D0">
      <w:pPr>
        <w:pStyle w:val="ECHRPara"/>
        <w:rPr>
          <w:rFonts w:ascii="Garamond" w:hAnsi="Garamond"/>
          <w:bCs/>
          <w:szCs w:val="24"/>
          <w:lang w:val="sq-AL"/>
        </w:rPr>
      </w:pPr>
    </w:p>
    <w:p w14:paraId="408DC883" w14:textId="77777777" w:rsidR="00E907D0" w:rsidRPr="00543A29" w:rsidRDefault="00E907D0" w:rsidP="00E907D0">
      <w:pPr>
        <w:pStyle w:val="ECHRPara"/>
        <w:rPr>
          <w:rFonts w:ascii="Garamond" w:hAnsi="Garamond"/>
          <w:bCs/>
          <w:szCs w:val="24"/>
          <w:lang w:val="sq-AL"/>
        </w:rPr>
      </w:pPr>
    </w:p>
    <w:p w14:paraId="5B542E12" w14:textId="77777777" w:rsidR="00E907D0" w:rsidRPr="00543A29" w:rsidRDefault="00E907D0" w:rsidP="00E907D0">
      <w:pPr>
        <w:pStyle w:val="ECHRPara"/>
        <w:rPr>
          <w:rFonts w:ascii="Garamond" w:hAnsi="Garamond"/>
          <w:bCs/>
          <w:szCs w:val="24"/>
          <w:lang w:val="sq-AL"/>
        </w:rPr>
      </w:pPr>
    </w:p>
    <w:p w14:paraId="705CFDF2" w14:textId="77777777" w:rsidR="00E907D0" w:rsidRPr="00543A29" w:rsidRDefault="00E907D0" w:rsidP="00E907D0">
      <w:pPr>
        <w:pStyle w:val="ECHRPara"/>
        <w:rPr>
          <w:rFonts w:ascii="Garamond" w:hAnsi="Garamond"/>
          <w:bCs/>
          <w:szCs w:val="24"/>
          <w:lang w:val="sq-AL"/>
        </w:rPr>
      </w:pPr>
    </w:p>
    <w:p w14:paraId="6B0675D1" w14:textId="77777777" w:rsidR="00E907D0" w:rsidRPr="00543A29" w:rsidRDefault="00E907D0" w:rsidP="00E907D0">
      <w:pPr>
        <w:pStyle w:val="ECHRPara"/>
        <w:rPr>
          <w:rFonts w:ascii="Garamond" w:hAnsi="Garamond"/>
          <w:bCs/>
          <w:szCs w:val="24"/>
          <w:lang w:val="sq-AL"/>
        </w:rPr>
      </w:pPr>
    </w:p>
    <w:p w14:paraId="25B08BFA" w14:textId="77777777" w:rsidR="00E907D0" w:rsidRPr="00543A29" w:rsidRDefault="00E907D0" w:rsidP="00E907D0">
      <w:pPr>
        <w:pStyle w:val="ECHRPara"/>
        <w:rPr>
          <w:rFonts w:ascii="Garamond" w:hAnsi="Garamond"/>
          <w:bCs/>
          <w:szCs w:val="24"/>
          <w:lang w:val="sq-AL"/>
        </w:rPr>
      </w:pPr>
    </w:p>
    <w:p w14:paraId="13A10513" w14:textId="77777777" w:rsidR="00E907D0" w:rsidRPr="00543A29" w:rsidRDefault="00E907D0" w:rsidP="00E907D0">
      <w:pPr>
        <w:pStyle w:val="ECHRPara"/>
        <w:rPr>
          <w:rFonts w:ascii="Garamond" w:hAnsi="Garamond"/>
          <w:bCs/>
          <w:szCs w:val="24"/>
          <w:lang w:val="sq-AL"/>
        </w:rPr>
      </w:pPr>
    </w:p>
    <w:p w14:paraId="45C956D7" w14:textId="77777777" w:rsidR="00E907D0" w:rsidRPr="00543A29" w:rsidRDefault="00E907D0" w:rsidP="00E907D0">
      <w:pPr>
        <w:pStyle w:val="ECHRPara"/>
        <w:rPr>
          <w:rFonts w:ascii="Garamond" w:hAnsi="Garamond"/>
          <w:bCs/>
          <w:szCs w:val="24"/>
          <w:lang w:val="sq-AL"/>
        </w:rPr>
      </w:pPr>
    </w:p>
    <w:p w14:paraId="446DDB46" w14:textId="77777777" w:rsidR="00E907D0" w:rsidRPr="00543A29" w:rsidRDefault="00E907D0" w:rsidP="00E907D0">
      <w:pPr>
        <w:pStyle w:val="ECHRPara"/>
        <w:rPr>
          <w:rFonts w:ascii="Garamond" w:hAnsi="Garamond"/>
          <w:bCs/>
          <w:szCs w:val="24"/>
          <w:lang w:val="sq-AL"/>
        </w:rPr>
      </w:pPr>
    </w:p>
    <w:p w14:paraId="2509A41E" w14:textId="77777777" w:rsidR="00E907D0" w:rsidRPr="00543A29" w:rsidRDefault="00E907D0" w:rsidP="00E907D0">
      <w:pPr>
        <w:pStyle w:val="ECHRPara"/>
        <w:rPr>
          <w:rFonts w:ascii="Garamond" w:hAnsi="Garamond"/>
          <w:bCs/>
          <w:szCs w:val="24"/>
          <w:lang w:val="sq-AL"/>
        </w:rPr>
      </w:pPr>
    </w:p>
    <w:p w14:paraId="0F68C026" w14:textId="77777777" w:rsidR="00E907D0" w:rsidRPr="00543A29" w:rsidRDefault="00E907D0" w:rsidP="00E907D0">
      <w:pPr>
        <w:pStyle w:val="ECHRPara"/>
        <w:rPr>
          <w:rFonts w:ascii="Garamond" w:hAnsi="Garamond"/>
          <w:bCs/>
          <w:szCs w:val="24"/>
          <w:lang w:val="sq-AL"/>
        </w:rPr>
      </w:pPr>
    </w:p>
    <w:p w14:paraId="5D247169" w14:textId="77777777" w:rsidR="00E907D0" w:rsidRPr="00543A29" w:rsidRDefault="00E907D0" w:rsidP="00E907D0">
      <w:pPr>
        <w:pStyle w:val="ECHRPara"/>
        <w:rPr>
          <w:rFonts w:ascii="Garamond" w:hAnsi="Garamond"/>
          <w:bCs/>
          <w:szCs w:val="24"/>
          <w:lang w:val="sq-AL"/>
        </w:rPr>
      </w:pPr>
    </w:p>
    <w:p w14:paraId="0BF8A0FF" w14:textId="77777777" w:rsidR="00E907D0" w:rsidRPr="00543A29" w:rsidRDefault="00E907D0" w:rsidP="00E907D0">
      <w:pPr>
        <w:pStyle w:val="ECHRPara"/>
        <w:rPr>
          <w:rFonts w:ascii="Garamond" w:hAnsi="Garamond"/>
          <w:bCs/>
          <w:szCs w:val="24"/>
          <w:lang w:val="sq-AL"/>
        </w:rPr>
      </w:pPr>
    </w:p>
    <w:p w14:paraId="609EC0D3" w14:textId="77777777" w:rsidR="00E907D0" w:rsidRPr="00543A29" w:rsidRDefault="00E907D0" w:rsidP="00E907D0">
      <w:pPr>
        <w:pStyle w:val="ECHRPara"/>
        <w:rPr>
          <w:rFonts w:ascii="Garamond" w:hAnsi="Garamond"/>
          <w:bCs/>
          <w:szCs w:val="24"/>
          <w:lang w:val="sq-AL"/>
        </w:rPr>
      </w:pPr>
    </w:p>
    <w:p w14:paraId="678FA802" w14:textId="77777777" w:rsidR="00E907D0" w:rsidRPr="00543A29" w:rsidRDefault="00E907D0" w:rsidP="00E907D0">
      <w:pPr>
        <w:pStyle w:val="ECHRPara"/>
        <w:rPr>
          <w:rFonts w:ascii="Garamond" w:hAnsi="Garamond"/>
          <w:bCs/>
          <w:szCs w:val="24"/>
          <w:lang w:val="sq-AL"/>
        </w:rPr>
      </w:pPr>
    </w:p>
    <w:p w14:paraId="262EE535" w14:textId="45584D06" w:rsidR="00E907D0" w:rsidRPr="00543A29" w:rsidRDefault="00E907D0" w:rsidP="00E907D0">
      <w:pPr>
        <w:pStyle w:val="ECHRPara"/>
        <w:rPr>
          <w:rFonts w:ascii="Garamond" w:hAnsi="Garamond"/>
          <w:bCs/>
          <w:szCs w:val="24"/>
          <w:lang w:val="sq-AL"/>
        </w:rPr>
        <w:sectPr w:rsidR="00E907D0" w:rsidRPr="00543A29" w:rsidSect="000F5CC1">
          <w:headerReference w:type="default" r:id="rId14"/>
          <w:footerReference w:type="default" r:id="rId15"/>
          <w:pgSz w:w="11907" w:h="16840" w:code="9"/>
          <w:pgMar w:top="574" w:right="1418" w:bottom="1418" w:left="1418" w:header="720" w:footer="720" w:gutter="0"/>
          <w:cols w:space="720"/>
          <w:docGrid w:linePitch="360"/>
        </w:sectPr>
      </w:pPr>
    </w:p>
    <w:p w14:paraId="2B17DD77" w14:textId="77777777" w:rsidR="00C32853" w:rsidRPr="00543A29" w:rsidRDefault="00C32853" w:rsidP="00E907D0">
      <w:pPr>
        <w:pStyle w:val="ECHRDecisionBody"/>
        <w:ind w:firstLine="284"/>
        <w:jc w:val="center"/>
        <w:rPr>
          <w:rFonts w:ascii="Garamond" w:hAnsi="Garamond"/>
          <w:bCs/>
          <w:iCs/>
          <w:sz w:val="20"/>
          <w:szCs w:val="20"/>
          <w:lang w:val="sq-AL"/>
        </w:rPr>
      </w:pPr>
      <w:r w:rsidRPr="00543A29">
        <w:rPr>
          <w:rFonts w:ascii="Garamond" w:hAnsi="Garamond"/>
          <w:bCs/>
          <w:iCs/>
          <w:sz w:val="20"/>
          <w:szCs w:val="20"/>
          <w:lang w:val="sq-AL"/>
        </w:rPr>
        <w:lastRenderedPageBreak/>
        <w:t>SHTOJCË</w:t>
      </w:r>
    </w:p>
    <w:p w14:paraId="4D97E15E" w14:textId="77777777" w:rsidR="00C32853" w:rsidRPr="00543A29" w:rsidRDefault="00C32853" w:rsidP="00E907D0">
      <w:pPr>
        <w:pStyle w:val="ECHRDecisionBody"/>
        <w:ind w:firstLine="284"/>
        <w:jc w:val="center"/>
        <w:rPr>
          <w:rFonts w:ascii="Garamond" w:hAnsi="Garamond"/>
          <w:b/>
          <w:bCs/>
          <w:iCs/>
          <w:sz w:val="20"/>
          <w:szCs w:val="20"/>
          <w:lang w:val="sq-AL"/>
        </w:rPr>
      </w:pPr>
    </w:p>
    <w:p w14:paraId="56ADA365" w14:textId="1BC51C9B" w:rsidR="00C32853" w:rsidRPr="00543A29" w:rsidRDefault="00C32853" w:rsidP="00E907D0">
      <w:pPr>
        <w:pStyle w:val="ECHRDecisionBody"/>
        <w:ind w:firstLine="284"/>
        <w:jc w:val="center"/>
        <w:rPr>
          <w:rFonts w:ascii="Garamond" w:hAnsi="Garamond"/>
          <w:b/>
          <w:iCs/>
          <w:sz w:val="20"/>
          <w:szCs w:val="20"/>
          <w:lang w:val="sq-AL"/>
        </w:rPr>
      </w:pPr>
      <w:r w:rsidRPr="00543A29">
        <w:rPr>
          <w:rFonts w:ascii="Garamond" w:hAnsi="Garamond"/>
          <w:b/>
          <w:iCs/>
          <w:sz w:val="20"/>
          <w:szCs w:val="20"/>
          <w:lang w:val="sq-AL"/>
        </w:rPr>
        <w:t xml:space="preserve">Lista e kërkesave sipas së cilave paraqiten ankesa në mbështetje me </w:t>
      </w:r>
      <w:r w:rsidR="00543A29" w:rsidRPr="00543A29">
        <w:rPr>
          <w:rFonts w:ascii="Garamond" w:hAnsi="Garamond"/>
          <w:b/>
          <w:iCs/>
          <w:sz w:val="20"/>
          <w:szCs w:val="20"/>
          <w:lang w:val="sq-AL"/>
        </w:rPr>
        <w:t>n</w:t>
      </w:r>
      <w:r w:rsidRPr="00543A29">
        <w:rPr>
          <w:rFonts w:ascii="Garamond" w:hAnsi="Garamond"/>
          <w:b/>
          <w:iCs/>
          <w:sz w:val="20"/>
          <w:szCs w:val="20"/>
          <w:lang w:val="sq-AL"/>
        </w:rPr>
        <w:t xml:space="preserve">enin 6 </w:t>
      </w:r>
      <w:r w:rsidR="00543A29" w:rsidRPr="00543A29">
        <w:rPr>
          <w:rFonts w:eastAsiaTheme="minorHAnsi"/>
          <w:b/>
          <w:color w:val="000000"/>
          <w:szCs w:val="24"/>
          <w:lang w:val="sq-AL"/>
          <w14:ligatures w14:val="standardContextual"/>
        </w:rPr>
        <w:t>§</w:t>
      </w:r>
      <w:r w:rsidRPr="00543A29">
        <w:rPr>
          <w:rFonts w:ascii="Garamond" w:hAnsi="Garamond"/>
          <w:b/>
          <w:iCs/>
          <w:sz w:val="20"/>
          <w:szCs w:val="20"/>
          <w:lang w:val="sq-AL"/>
        </w:rPr>
        <w:t xml:space="preserve"> 1 të Konventës </w:t>
      </w:r>
    </w:p>
    <w:p w14:paraId="5E624822" w14:textId="5044493B" w:rsidR="00C32853" w:rsidRPr="00543A29" w:rsidRDefault="00C32853" w:rsidP="00E907D0">
      <w:pPr>
        <w:pStyle w:val="ECHRDecisionBody"/>
        <w:ind w:firstLine="284"/>
        <w:jc w:val="center"/>
        <w:rPr>
          <w:rFonts w:ascii="Garamond" w:hAnsi="Garamond"/>
          <w:b/>
          <w:iCs/>
          <w:sz w:val="20"/>
          <w:szCs w:val="20"/>
          <w:lang w:val="sq-AL"/>
        </w:rPr>
      </w:pPr>
      <w:r w:rsidRPr="00543A29">
        <w:rPr>
          <w:rFonts w:ascii="Garamond" w:hAnsi="Garamond"/>
          <w:b/>
          <w:iCs/>
          <w:sz w:val="20"/>
          <w:szCs w:val="20"/>
          <w:lang w:val="sq-AL"/>
        </w:rPr>
        <w:t>(</w:t>
      </w:r>
      <w:r w:rsidR="00F247A3" w:rsidRPr="00543A29">
        <w:rPr>
          <w:rFonts w:ascii="Garamond" w:hAnsi="Garamond"/>
          <w:b/>
          <w:iCs/>
          <w:sz w:val="20"/>
          <w:szCs w:val="20"/>
          <w:lang w:val="sq-AL"/>
        </w:rPr>
        <w:t>mosekzekutim ose ekzekutim i vonuar i vendimeve vendase</w:t>
      </w:r>
      <w:r w:rsidRPr="00543A29">
        <w:rPr>
          <w:rFonts w:ascii="Garamond" w:hAnsi="Garamond"/>
          <w:b/>
          <w:iCs/>
          <w:sz w:val="20"/>
          <w:szCs w:val="20"/>
          <w:lang w:val="sq-AL"/>
        </w:rPr>
        <w:t>)</w:t>
      </w:r>
    </w:p>
    <w:p w14:paraId="7B763683" w14:textId="77777777" w:rsidR="00C32853" w:rsidRPr="00543A29" w:rsidRDefault="00C32853" w:rsidP="00E907D0">
      <w:pPr>
        <w:pStyle w:val="ECHRDecisionBody"/>
        <w:ind w:firstLine="284"/>
        <w:jc w:val="center"/>
        <w:rPr>
          <w:rFonts w:ascii="Garamond" w:hAnsi="Garamond"/>
          <w:iCs/>
          <w:sz w:val="20"/>
          <w:szCs w:val="20"/>
          <w:lang w:val="sq-AL"/>
        </w:rPr>
      </w:pPr>
    </w:p>
    <w:tbl>
      <w:tblPr>
        <w:tblStyle w:val="TableGrid"/>
        <w:tblW w:w="0" w:type="auto"/>
        <w:jc w:val="center"/>
        <w:tblLook w:val="04A0" w:firstRow="1" w:lastRow="0" w:firstColumn="1" w:lastColumn="0" w:noHBand="0" w:noVBand="1"/>
      </w:tblPr>
      <w:tblGrid>
        <w:gridCol w:w="524"/>
        <w:gridCol w:w="1362"/>
        <w:gridCol w:w="1441"/>
        <w:gridCol w:w="1227"/>
        <w:gridCol w:w="1641"/>
        <w:gridCol w:w="1447"/>
        <w:gridCol w:w="2099"/>
        <w:gridCol w:w="1392"/>
        <w:gridCol w:w="1348"/>
        <w:gridCol w:w="1079"/>
        <w:gridCol w:w="1412"/>
      </w:tblGrid>
      <w:tr w:rsidR="00317F5E" w:rsidRPr="00543A29" w14:paraId="7BDDFEDC" w14:textId="77777777" w:rsidTr="00543A29">
        <w:trPr>
          <w:jc w:val="center"/>
        </w:trPr>
        <w:tc>
          <w:tcPr>
            <w:tcW w:w="524" w:type="dxa"/>
            <w:tcBorders>
              <w:top w:val="single" w:sz="4" w:space="0" w:color="auto"/>
              <w:left w:val="single" w:sz="4" w:space="0" w:color="auto"/>
              <w:bottom w:val="single" w:sz="4" w:space="0" w:color="auto"/>
            </w:tcBorders>
            <w:shd w:val="clear" w:color="auto" w:fill="auto"/>
            <w:vAlign w:val="center"/>
          </w:tcPr>
          <w:p w14:paraId="01162A97" w14:textId="77777777"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Nr.</w:t>
            </w:r>
          </w:p>
        </w:tc>
        <w:tc>
          <w:tcPr>
            <w:tcW w:w="1362" w:type="dxa"/>
            <w:vAlign w:val="center"/>
          </w:tcPr>
          <w:p w14:paraId="4A6CA504" w14:textId="02A8D60C"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Ankesa nr.</w:t>
            </w:r>
          </w:p>
          <w:p w14:paraId="45037334" w14:textId="77777777"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Data e paraqitjes</w:t>
            </w:r>
          </w:p>
        </w:tc>
        <w:tc>
          <w:tcPr>
            <w:tcW w:w="1441" w:type="dxa"/>
            <w:vAlign w:val="center"/>
          </w:tcPr>
          <w:p w14:paraId="306774A6" w14:textId="77777777"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Emri i ankuesit</w:t>
            </w:r>
          </w:p>
          <w:p w14:paraId="0BF2C738" w14:textId="22282C3B"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Viti i lindjes</w:t>
            </w:r>
          </w:p>
        </w:tc>
        <w:tc>
          <w:tcPr>
            <w:tcW w:w="1227" w:type="dxa"/>
            <w:vAlign w:val="center"/>
          </w:tcPr>
          <w:p w14:paraId="089088EB" w14:textId="67E138ED"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Emri dhe vendndodhja e p</w:t>
            </w:r>
            <w:r w:rsidR="00153AA4" w:rsidRPr="00543A29">
              <w:rPr>
                <w:rFonts w:ascii="Garamond" w:hAnsi="Garamond"/>
                <w:b/>
                <w:bCs/>
                <w:iCs/>
                <w:sz w:val="18"/>
                <w:lang w:val="sq-AL"/>
              </w:rPr>
              <w:t>ë</w:t>
            </w:r>
            <w:r w:rsidRPr="00543A29">
              <w:rPr>
                <w:rFonts w:ascii="Garamond" w:hAnsi="Garamond"/>
                <w:b/>
                <w:bCs/>
                <w:iCs/>
                <w:sz w:val="18"/>
                <w:lang w:val="sq-AL"/>
              </w:rPr>
              <w:t>rfaq</w:t>
            </w:r>
            <w:r w:rsidR="00153AA4" w:rsidRPr="00543A29">
              <w:rPr>
                <w:rFonts w:ascii="Garamond" w:hAnsi="Garamond"/>
                <w:b/>
                <w:bCs/>
                <w:iCs/>
                <w:sz w:val="18"/>
                <w:lang w:val="sq-AL"/>
              </w:rPr>
              <w:t>ë</w:t>
            </w:r>
            <w:r w:rsidRPr="00543A29">
              <w:rPr>
                <w:rFonts w:ascii="Garamond" w:hAnsi="Garamond"/>
                <w:b/>
                <w:bCs/>
                <w:iCs/>
                <w:sz w:val="18"/>
                <w:lang w:val="sq-AL"/>
              </w:rPr>
              <w:t>suesit</w:t>
            </w:r>
          </w:p>
        </w:tc>
        <w:tc>
          <w:tcPr>
            <w:tcW w:w="1641" w:type="dxa"/>
            <w:vAlign w:val="center"/>
          </w:tcPr>
          <w:p w14:paraId="1CCE5432" w14:textId="5A46AFDE"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 xml:space="preserve">Vendimi </w:t>
            </w:r>
            <w:proofErr w:type="spellStart"/>
            <w:r w:rsidRPr="00543A29">
              <w:rPr>
                <w:rFonts w:ascii="Garamond" w:hAnsi="Garamond"/>
                <w:b/>
                <w:bCs/>
                <w:iCs/>
                <w:sz w:val="18"/>
                <w:lang w:val="sq-AL"/>
              </w:rPr>
              <w:t>respektiv</w:t>
            </w:r>
            <w:proofErr w:type="spellEnd"/>
            <w:r w:rsidRPr="00543A29">
              <w:rPr>
                <w:rFonts w:ascii="Garamond" w:hAnsi="Garamond"/>
                <w:b/>
                <w:bCs/>
                <w:iCs/>
                <w:sz w:val="18"/>
                <w:lang w:val="sq-AL"/>
              </w:rPr>
              <w:t xml:space="preserve"> vendas</w:t>
            </w:r>
          </w:p>
        </w:tc>
        <w:tc>
          <w:tcPr>
            <w:tcW w:w="1313" w:type="dxa"/>
            <w:vAlign w:val="center"/>
          </w:tcPr>
          <w:p w14:paraId="79970C5D" w14:textId="10198116"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Data e fillimit t</w:t>
            </w:r>
            <w:r w:rsidR="00153AA4" w:rsidRPr="00543A29">
              <w:rPr>
                <w:rFonts w:ascii="Garamond" w:hAnsi="Garamond"/>
                <w:b/>
                <w:bCs/>
                <w:iCs/>
                <w:sz w:val="18"/>
                <w:lang w:val="sq-AL"/>
              </w:rPr>
              <w:t>ë</w:t>
            </w:r>
            <w:r w:rsidRPr="00543A29">
              <w:rPr>
                <w:rFonts w:ascii="Garamond" w:hAnsi="Garamond"/>
                <w:b/>
                <w:bCs/>
                <w:iCs/>
                <w:sz w:val="18"/>
                <w:lang w:val="sq-AL"/>
              </w:rPr>
              <w:t xml:space="preserve"> periudh</w:t>
            </w:r>
            <w:r w:rsidR="00153AA4" w:rsidRPr="00543A29">
              <w:rPr>
                <w:rFonts w:ascii="Garamond" w:hAnsi="Garamond"/>
                <w:b/>
                <w:bCs/>
                <w:iCs/>
                <w:sz w:val="18"/>
                <w:lang w:val="sq-AL"/>
              </w:rPr>
              <w:t>ë</w:t>
            </w:r>
            <w:r w:rsidRPr="00543A29">
              <w:rPr>
                <w:rFonts w:ascii="Garamond" w:hAnsi="Garamond"/>
                <w:b/>
                <w:bCs/>
                <w:iCs/>
                <w:sz w:val="18"/>
                <w:lang w:val="sq-AL"/>
              </w:rPr>
              <w:t>s s</w:t>
            </w:r>
            <w:r w:rsidR="00153AA4" w:rsidRPr="00543A29">
              <w:rPr>
                <w:rFonts w:ascii="Garamond" w:hAnsi="Garamond"/>
                <w:b/>
                <w:bCs/>
                <w:iCs/>
                <w:sz w:val="18"/>
                <w:lang w:val="sq-AL"/>
              </w:rPr>
              <w:t>ë</w:t>
            </w:r>
            <w:r w:rsidRPr="00543A29">
              <w:rPr>
                <w:rFonts w:ascii="Garamond" w:hAnsi="Garamond"/>
                <w:b/>
                <w:bCs/>
                <w:iCs/>
                <w:sz w:val="18"/>
                <w:lang w:val="sq-AL"/>
              </w:rPr>
              <w:t xml:space="preserve"> mosekzekutimit</w:t>
            </w:r>
          </w:p>
        </w:tc>
        <w:tc>
          <w:tcPr>
            <w:tcW w:w="2099" w:type="dxa"/>
            <w:vAlign w:val="center"/>
          </w:tcPr>
          <w:p w14:paraId="66DB520D" w14:textId="1EA9D168"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Data e p</w:t>
            </w:r>
            <w:r w:rsidR="00153AA4" w:rsidRPr="00543A29">
              <w:rPr>
                <w:rFonts w:ascii="Garamond" w:hAnsi="Garamond"/>
                <w:b/>
                <w:bCs/>
                <w:iCs/>
                <w:sz w:val="18"/>
                <w:lang w:val="sq-AL"/>
              </w:rPr>
              <w:t>ë</w:t>
            </w:r>
            <w:r w:rsidRPr="00543A29">
              <w:rPr>
                <w:rFonts w:ascii="Garamond" w:hAnsi="Garamond"/>
                <w:b/>
                <w:bCs/>
                <w:iCs/>
                <w:sz w:val="18"/>
                <w:lang w:val="sq-AL"/>
              </w:rPr>
              <w:t>rfundimit t</w:t>
            </w:r>
            <w:r w:rsidR="00153AA4" w:rsidRPr="00543A29">
              <w:rPr>
                <w:rFonts w:ascii="Garamond" w:hAnsi="Garamond"/>
                <w:b/>
                <w:bCs/>
                <w:iCs/>
                <w:sz w:val="18"/>
                <w:lang w:val="sq-AL"/>
              </w:rPr>
              <w:t>ë</w:t>
            </w:r>
            <w:r w:rsidRPr="00543A29">
              <w:rPr>
                <w:rFonts w:ascii="Garamond" w:hAnsi="Garamond"/>
                <w:b/>
                <w:bCs/>
                <w:iCs/>
                <w:sz w:val="18"/>
                <w:lang w:val="sq-AL"/>
              </w:rPr>
              <w:t xml:space="preserve"> periudh</w:t>
            </w:r>
            <w:r w:rsidR="00153AA4" w:rsidRPr="00543A29">
              <w:rPr>
                <w:rFonts w:ascii="Garamond" w:hAnsi="Garamond"/>
                <w:b/>
                <w:bCs/>
                <w:iCs/>
                <w:sz w:val="18"/>
                <w:lang w:val="sq-AL"/>
              </w:rPr>
              <w:t>ë</w:t>
            </w:r>
            <w:r w:rsidRPr="00543A29">
              <w:rPr>
                <w:rFonts w:ascii="Garamond" w:hAnsi="Garamond"/>
                <w:b/>
                <w:bCs/>
                <w:iCs/>
                <w:sz w:val="18"/>
                <w:lang w:val="sq-AL"/>
              </w:rPr>
              <w:t>s s</w:t>
            </w:r>
            <w:r w:rsidR="00153AA4" w:rsidRPr="00543A29">
              <w:rPr>
                <w:rFonts w:ascii="Garamond" w:hAnsi="Garamond"/>
                <w:b/>
                <w:bCs/>
                <w:iCs/>
                <w:sz w:val="18"/>
                <w:lang w:val="sq-AL"/>
              </w:rPr>
              <w:t>ë</w:t>
            </w:r>
            <w:r w:rsidRPr="00543A29">
              <w:rPr>
                <w:rFonts w:ascii="Garamond" w:hAnsi="Garamond"/>
                <w:b/>
                <w:bCs/>
                <w:iCs/>
                <w:sz w:val="18"/>
                <w:lang w:val="sq-AL"/>
              </w:rPr>
              <w:t xml:space="preserve"> mosekzekutimit</w:t>
            </w:r>
          </w:p>
          <w:p w14:paraId="22EC2110" w14:textId="54607190"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Koh</w:t>
            </w:r>
            <w:r w:rsidR="00153AA4" w:rsidRPr="00543A29">
              <w:rPr>
                <w:rFonts w:ascii="Garamond" w:hAnsi="Garamond"/>
                <w:b/>
                <w:bCs/>
                <w:iCs/>
                <w:sz w:val="18"/>
                <w:lang w:val="sq-AL"/>
              </w:rPr>
              <w:t>ë</w:t>
            </w:r>
            <w:r w:rsidRPr="00543A29">
              <w:rPr>
                <w:rFonts w:ascii="Garamond" w:hAnsi="Garamond"/>
                <w:b/>
                <w:bCs/>
                <w:iCs/>
                <w:sz w:val="18"/>
                <w:lang w:val="sq-AL"/>
              </w:rPr>
              <w:t>zgjatja e procesit t</w:t>
            </w:r>
            <w:r w:rsidR="00153AA4" w:rsidRPr="00543A29">
              <w:rPr>
                <w:rFonts w:ascii="Garamond" w:hAnsi="Garamond"/>
                <w:b/>
                <w:bCs/>
                <w:iCs/>
                <w:sz w:val="18"/>
                <w:lang w:val="sq-AL"/>
              </w:rPr>
              <w:t>ë</w:t>
            </w:r>
            <w:r w:rsidRPr="00543A29">
              <w:rPr>
                <w:rFonts w:ascii="Garamond" w:hAnsi="Garamond"/>
                <w:b/>
                <w:bCs/>
                <w:iCs/>
                <w:sz w:val="18"/>
                <w:lang w:val="sq-AL"/>
              </w:rPr>
              <w:t xml:space="preserve"> ekzekutimit</w:t>
            </w:r>
          </w:p>
        </w:tc>
        <w:tc>
          <w:tcPr>
            <w:tcW w:w="1392" w:type="dxa"/>
            <w:vAlign w:val="center"/>
          </w:tcPr>
          <w:p w14:paraId="2BF6B662" w14:textId="5439A269"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Akordimi vendas (n</w:t>
            </w:r>
            <w:r w:rsidR="00153AA4" w:rsidRPr="00543A29">
              <w:rPr>
                <w:rFonts w:ascii="Garamond" w:hAnsi="Garamond"/>
                <w:b/>
                <w:bCs/>
                <w:iCs/>
                <w:sz w:val="18"/>
                <w:lang w:val="sq-AL"/>
              </w:rPr>
              <w:t>ë</w:t>
            </w:r>
            <w:r w:rsidRPr="00543A29">
              <w:rPr>
                <w:rFonts w:ascii="Garamond" w:hAnsi="Garamond"/>
                <w:b/>
                <w:bCs/>
                <w:iCs/>
                <w:sz w:val="18"/>
                <w:lang w:val="sq-AL"/>
              </w:rPr>
              <w:t xml:space="preserve"> euro)</w:t>
            </w:r>
          </w:p>
        </w:tc>
        <w:tc>
          <w:tcPr>
            <w:tcW w:w="1348" w:type="dxa"/>
            <w:vAlign w:val="center"/>
          </w:tcPr>
          <w:p w14:paraId="1EEB97FF" w14:textId="36D0ED6E"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Detaje t</w:t>
            </w:r>
            <w:r w:rsidR="00153AA4" w:rsidRPr="00543A29">
              <w:rPr>
                <w:rFonts w:ascii="Garamond" w:hAnsi="Garamond"/>
                <w:b/>
                <w:bCs/>
                <w:iCs/>
                <w:sz w:val="18"/>
                <w:lang w:val="sq-AL"/>
              </w:rPr>
              <w:t>ë</w:t>
            </w:r>
            <w:r w:rsidRPr="00543A29">
              <w:rPr>
                <w:rFonts w:ascii="Garamond" w:hAnsi="Garamond"/>
                <w:b/>
                <w:bCs/>
                <w:iCs/>
                <w:sz w:val="18"/>
                <w:lang w:val="sq-AL"/>
              </w:rPr>
              <w:t xml:space="preserve"> urdhrit t</w:t>
            </w:r>
            <w:r w:rsidR="00153AA4" w:rsidRPr="00543A29">
              <w:rPr>
                <w:rFonts w:ascii="Garamond" w:hAnsi="Garamond"/>
                <w:b/>
                <w:bCs/>
                <w:iCs/>
                <w:sz w:val="18"/>
                <w:lang w:val="sq-AL"/>
              </w:rPr>
              <w:t>ë</w:t>
            </w:r>
            <w:r w:rsidRPr="00543A29">
              <w:rPr>
                <w:rFonts w:ascii="Garamond" w:hAnsi="Garamond"/>
                <w:b/>
                <w:bCs/>
                <w:iCs/>
                <w:sz w:val="18"/>
                <w:lang w:val="sq-AL"/>
              </w:rPr>
              <w:t xml:space="preserve"> gjykat</w:t>
            </w:r>
            <w:r w:rsidR="00153AA4" w:rsidRPr="00543A29">
              <w:rPr>
                <w:rFonts w:ascii="Garamond" w:hAnsi="Garamond"/>
                <w:b/>
                <w:bCs/>
                <w:iCs/>
                <w:sz w:val="18"/>
                <w:lang w:val="sq-AL"/>
              </w:rPr>
              <w:t>ë</w:t>
            </w:r>
            <w:r w:rsidRPr="00543A29">
              <w:rPr>
                <w:rFonts w:ascii="Garamond" w:hAnsi="Garamond"/>
                <w:b/>
                <w:bCs/>
                <w:iCs/>
                <w:sz w:val="18"/>
                <w:lang w:val="sq-AL"/>
              </w:rPr>
              <w:t>s p</w:t>
            </w:r>
            <w:r w:rsidR="00153AA4" w:rsidRPr="00543A29">
              <w:rPr>
                <w:rFonts w:ascii="Garamond" w:hAnsi="Garamond"/>
                <w:b/>
                <w:bCs/>
                <w:iCs/>
                <w:sz w:val="18"/>
                <w:lang w:val="sq-AL"/>
              </w:rPr>
              <w:t>ë</w:t>
            </w:r>
            <w:r w:rsidRPr="00543A29">
              <w:rPr>
                <w:rFonts w:ascii="Garamond" w:hAnsi="Garamond"/>
                <w:b/>
                <w:bCs/>
                <w:iCs/>
                <w:sz w:val="18"/>
                <w:lang w:val="sq-AL"/>
              </w:rPr>
              <w:t>r ekzekutimin e vendimit</w:t>
            </w:r>
          </w:p>
        </w:tc>
        <w:tc>
          <w:tcPr>
            <w:tcW w:w="1079" w:type="dxa"/>
            <w:vAlign w:val="center"/>
          </w:tcPr>
          <w:p w14:paraId="0C51D8DA" w14:textId="600A69D5"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Shuma akorduar p</w:t>
            </w:r>
            <w:r w:rsidR="00153AA4" w:rsidRPr="00543A29">
              <w:rPr>
                <w:rFonts w:ascii="Garamond" w:hAnsi="Garamond"/>
                <w:b/>
                <w:bCs/>
                <w:iCs/>
                <w:sz w:val="18"/>
                <w:lang w:val="sq-AL"/>
              </w:rPr>
              <w:t>ë</w:t>
            </w:r>
            <w:r w:rsidRPr="00543A29">
              <w:rPr>
                <w:rFonts w:ascii="Garamond" w:hAnsi="Garamond"/>
                <w:b/>
                <w:bCs/>
                <w:iCs/>
                <w:sz w:val="18"/>
                <w:lang w:val="sq-AL"/>
              </w:rPr>
              <w:t>r d</w:t>
            </w:r>
            <w:r w:rsidR="00153AA4" w:rsidRPr="00543A29">
              <w:rPr>
                <w:rFonts w:ascii="Garamond" w:hAnsi="Garamond"/>
                <w:b/>
                <w:bCs/>
                <w:iCs/>
                <w:sz w:val="18"/>
                <w:lang w:val="sq-AL"/>
              </w:rPr>
              <w:t>ë</w:t>
            </w:r>
            <w:r w:rsidRPr="00543A29">
              <w:rPr>
                <w:rFonts w:ascii="Garamond" w:hAnsi="Garamond"/>
                <w:b/>
                <w:bCs/>
                <w:iCs/>
                <w:sz w:val="18"/>
                <w:lang w:val="sq-AL"/>
              </w:rPr>
              <w:t xml:space="preserve">min </w:t>
            </w:r>
            <w:proofErr w:type="spellStart"/>
            <w:r w:rsidRPr="00543A29">
              <w:rPr>
                <w:rFonts w:ascii="Garamond" w:hAnsi="Garamond"/>
                <w:b/>
                <w:bCs/>
                <w:iCs/>
                <w:sz w:val="18"/>
                <w:lang w:val="sq-AL"/>
              </w:rPr>
              <w:t>jopasuror</w:t>
            </w:r>
            <w:proofErr w:type="spellEnd"/>
            <w:r w:rsidRPr="00543A29">
              <w:rPr>
                <w:rFonts w:ascii="Garamond" w:hAnsi="Garamond"/>
                <w:b/>
                <w:bCs/>
                <w:iCs/>
                <w:sz w:val="18"/>
                <w:lang w:val="sq-AL"/>
              </w:rPr>
              <w:t xml:space="preserve"> p</w:t>
            </w:r>
            <w:r w:rsidR="00153AA4" w:rsidRPr="00543A29">
              <w:rPr>
                <w:rFonts w:ascii="Garamond" w:hAnsi="Garamond"/>
                <w:b/>
                <w:bCs/>
                <w:iCs/>
                <w:sz w:val="18"/>
                <w:lang w:val="sq-AL"/>
              </w:rPr>
              <w:t>ë</w:t>
            </w:r>
            <w:r w:rsidRPr="00543A29">
              <w:rPr>
                <w:rFonts w:ascii="Garamond" w:hAnsi="Garamond"/>
                <w:b/>
                <w:bCs/>
                <w:iCs/>
                <w:sz w:val="18"/>
                <w:lang w:val="sq-AL"/>
              </w:rPr>
              <w:t>r k</w:t>
            </w:r>
            <w:r w:rsidR="00153AA4" w:rsidRPr="00543A29">
              <w:rPr>
                <w:rFonts w:ascii="Garamond" w:hAnsi="Garamond"/>
                <w:b/>
                <w:bCs/>
                <w:iCs/>
                <w:sz w:val="18"/>
                <w:lang w:val="sq-AL"/>
              </w:rPr>
              <w:t>ë</w:t>
            </w:r>
            <w:r w:rsidRPr="00543A29">
              <w:rPr>
                <w:rFonts w:ascii="Garamond" w:hAnsi="Garamond"/>
                <w:b/>
                <w:bCs/>
                <w:iCs/>
                <w:sz w:val="18"/>
                <w:lang w:val="sq-AL"/>
              </w:rPr>
              <w:t>rkues (n</w:t>
            </w:r>
            <w:r w:rsidR="00153AA4" w:rsidRPr="00543A29">
              <w:rPr>
                <w:rFonts w:ascii="Garamond" w:hAnsi="Garamond"/>
                <w:b/>
                <w:bCs/>
                <w:iCs/>
                <w:sz w:val="18"/>
                <w:lang w:val="sq-AL"/>
              </w:rPr>
              <w:t>ë</w:t>
            </w:r>
            <w:r w:rsidRPr="00543A29">
              <w:rPr>
                <w:rFonts w:ascii="Garamond" w:hAnsi="Garamond"/>
                <w:b/>
                <w:bCs/>
                <w:iCs/>
                <w:sz w:val="18"/>
                <w:lang w:val="sq-AL"/>
              </w:rPr>
              <w:t xml:space="preserve"> euro)</w:t>
            </w:r>
            <w:r w:rsidRPr="00543A29">
              <w:rPr>
                <w:rStyle w:val="FootnoteReference"/>
                <w:rFonts w:ascii="Garamond" w:hAnsi="Garamond"/>
                <w:b/>
                <w:bCs/>
                <w:iCs/>
                <w:sz w:val="18"/>
                <w:lang w:val="sq-AL"/>
              </w:rPr>
              <w:footnoteReference w:id="2"/>
            </w:r>
          </w:p>
        </w:tc>
        <w:tc>
          <w:tcPr>
            <w:tcW w:w="1412" w:type="dxa"/>
            <w:vAlign w:val="center"/>
          </w:tcPr>
          <w:p w14:paraId="32BF9C5A" w14:textId="18D2F98D" w:rsidR="006474C8" w:rsidRPr="00543A29" w:rsidRDefault="006474C8" w:rsidP="00543A29">
            <w:pPr>
              <w:pStyle w:val="ECHRDecisionBody"/>
              <w:jc w:val="center"/>
              <w:rPr>
                <w:rFonts w:ascii="Garamond" w:hAnsi="Garamond"/>
                <w:b/>
                <w:bCs/>
                <w:iCs/>
                <w:sz w:val="18"/>
                <w:lang w:val="sq-AL"/>
              </w:rPr>
            </w:pPr>
            <w:r w:rsidRPr="00543A29">
              <w:rPr>
                <w:rFonts w:ascii="Garamond" w:hAnsi="Garamond"/>
                <w:b/>
                <w:bCs/>
                <w:iCs/>
                <w:sz w:val="18"/>
                <w:lang w:val="sq-AL"/>
              </w:rPr>
              <w:t>Shuma akorduar për kostot dhe shpenzimet për kërkues (në euro)</w:t>
            </w:r>
            <w:r w:rsidRPr="00543A29">
              <w:rPr>
                <w:rStyle w:val="FootnoteReference"/>
                <w:rFonts w:ascii="Garamond" w:hAnsi="Garamond"/>
                <w:b/>
                <w:bCs/>
                <w:iCs/>
                <w:sz w:val="18"/>
                <w:lang w:val="sq-AL"/>
              </w:rPr>
              <w:footnoteReference w:id="3"/>
            </w:r>
          </w:p>
        </w:tc>
      </w:tr>
      <w:tr w:rsidR="00317F5E" w:rsidRPr="00543A29" w14:paraId="6CA77332" w14:textId="77777777" w:rsidTr="00317F5E">
        <w:trPr>
          <w:jc w:val="center"/>
        </w:trPr>
        <w:tc>
          <w:tcPr>
            <w:tcW w:w="524" w:type="dxa"/>
            <w:tcBorders>
              <w:top w:val="single" w:sz="4" w:space="0" w:color="auto"/>
              <w:left w:val="single" w:sz="4" w:space="0" w:color="auto"/>
              <w:bottom w:val="single" w:sz="4" w:space="0" w:color="auto"/>
            </w:tcBorders>
            <w:shd w:val="clear" w:color="auto" w:fill="auto"/>
          </w:tcPr>
          <w:p w14:paraId="0E8739C8" w14:textId="0810AC26"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w:t>
            </w:r>
          </w:p>
        </w:tc>
        <w:tc>
          <w:tcPr>
            <w:tcW w:w="1362" w:type="dxa"/>
          </w:tcPr>
          <w:p w14:paraId="19D63704" w14:textId="7777777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63975/10</w:t>
            </w:r>
          </w:p>
          <w:p w14:paraId="14D0D637" w14:textId="4B1F936B"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23</w:t>
            </w:r>
            <w:r w:rsidR="00543A29">
              <w:rPr>
                <w:rFonts w:ascii="Garamond" w:hAnsi="Garamond"/>
                <w:iCs/>
                <w:sz w:val="18"/>
                <w:lang w:val="sq-AL"/>
              </w:rPr>
              <w:t>.</w:t>
            </w:r>
            <w:r w:rsidRPr="00543A29">
              <w:rPr>
                <w:rFonts w:ascii="Garamond" w:hAnsi="Garamond"/>
                <w:iCs/>
                <w:sz w:val="18"/>
                <w:lang w:val="sq-AL"/>
              </w:rPr>
              <w:t>10</w:t>
            </w:r>
            <w:r w:rsidR="00543A29">
              <w:rPr>
                <w:rFonts w:ascii="Garamond" w:hAnsi="Garamond"/>
                <w:iCs/>
                <w:sz w:val="18"/>
                <w:lang w:val="sq-AL"/>
              </w:rPr>
              <w:t>.</w:t>
            </w:r>
            <w:r w:rsidRPr="00543A29">
              <w:rPr>
                <w:rFonts w:ascii="Garamond" w:hAnsi="Garamond"/>
                <w:iCs/>
                <w:sz w:val="18"/>
                <w:lang w:val="sq-AL"/>
              </w:rPr>
              <w:t>2010</w:t>
            </w:r>
          </w:p>
        </w:tc>
        <w:tc>
          <w:tcPr>
            <w:tcW w:w="1441" w:type="dxa"/>
          </w:tcPr>
          <w:p w14:paraId="2AB6B05B" w14:textId="3F7D1C63" w:rsidR="006474C8" w:rsidRPr="00543A29" w:rsidRDefault="006474C8" w:rsidP="00AC1AFD">
            <w:pPr>
              <w:pStyle w:val="ECHRDecisionBody"/>
              <w:jc w:val="center"/>
              <w:rPr>
                <w:rFonts w:ascii="Garamond" w:hAnsi="Garamond"/>
                <w:b/>
                <w:bCs/>
                <w:iCs/>
                <w:sz w:val="18"/>
                <w:lang w:val="sq-AL"/>
              </w:rPr>
            </w:pPr>
            <w:proofErr w:type="spellStart"/>
            <w:r w:rsidRPr="00543A29">
              <w:rPr>
                <w:rFonts w:ascii="Garamond" w:hAnsi="Garamond"/>
                <w:b/>
                <w:bCs/>
                <w:iCs/>
                <w:sz w:val="18"/>
                <w:lang w:val="sq-AL"/>
              </w:rPr>
              <w:t>Ardita</w:t>
            </w:r>
            <w:proofErr w:type="spellEnd"/>
            <w:r w:rsidRPr="00543A29">
              <w:rPr>
                <w:rFonts w:ascii="Garamond" w:hAnsi="Garamond"/>
                <w:b/>
                <w:bCs/>
                <w:iCs/>
                <w:sz w:val="18"/>
                <w:lang w:val="sq-AL"/>
              </w:rPr>
              <w:t xml:space="preserve"> ALSULA</w:t>
            </w:r>
          </w:p>
          <w:p w14:paraId="3D986BA0" w14:textId="0754C45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1971</w:t>
            </w:r>
          </w:p>
        </w:tc>
        <w:tc>
          <w:tcPr>
            <w:tcW w:w="1227" w:type="dxa"/>
          </w:tcPr>
          <w:p w14:paraId="008A059C" w14:textId="77777777" w:rsidR="006474C8" w:rsidRPr="00543A29" w:rsidRDefault="006474C8" w:rsidP="00AC1AFD">
            <w:pPr>
              <w:pStyle w:val="ECHRDecisionBody"/>
              <w:jc w:val="center"/>
              <w:rPr>
                <w:rFonts w:ascii="Garamond" w:hAnsi="Garamond"/>
                <w:iCs/>
                <w:sz w:val="18"/>
                <w:lang w:val="sq-AL"/>
              </w:rPr>
            </w:pPr>
          </w:p>
        </w:tc>
        <w:tc>
          <w:tcPr>
            <w:tcW w:w="1641" w:type="dxa"/>
          </w:tcPr>
          <w:p w14:paraId="6E34DC4F" w14:textId="1710E24B"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Komisioni i Sh</w:t>
            </w:r>
            <w:r w:rsidR="00153AA4" w:rsidRPr="00543A29">
              <w:rPr>
                <w:rFonts w:ascii="Garamond" w:hAnsi="Garamond"/>
                <w:iCs/>
                <w:sz w:val="18"/>
                <w:lang w:val="sq-AL"/>
              </w:rPr>
              <w:t>ë</w:t>
            </w:r>
            <w:r w:rsidRPr="00543A29">
              <w:rPr>
                <w:rFonts w:ascii="Garamond" w:hAnsi="Garamond"/>
                <w:iCs/>
                <w:sz w:val="18"/>
                <w:lang w:val="sq-AL"/>
              </w:rPr>
              <w:t xml:space="preserve">rbimit Civil, </w:t>
            </w:r>
          </w:p>
          <w:p w14:paraId="115D2861" w14:textId="1D388E6C" w:rsidR="006474C8" w:rsidRPr="00543A29" w:rsidRDefault="006474C8" w:rsidP="00543A29">
            <w:pPr>
              <w:pStyle w:val="ECHRDecisionBody"/>
              <w:jc w:val="center"/>
              <w:rPr>
                <w:rFonts w:ascii="Garamond" w:hAnsi="Garamond"/>
                <w:iCs/>
                <w:sz w:val="18"/>
                <w:lang w:val="sq-AL"/>
              </w:rPr>
            </w:pPr>
            <w:r w:rsidRPr="00543A29">
              <w:rPr>
                <w:rFonts w:ascii="Garamond" w:hAnsi="Garamond"/>
                <w:iCs/>
                <w:sz w:val="18"/>
                <w:lang w:val="sq-AL"/>
              </w:rPr>
              <w:t>12</w:t>
            </w:r>
            <w:r w:rsidR="00543A29">
              <w:rPr>
                <w:rFonts w:ascii="Garamond" w:hAnsi="Garamond"/>
                <w:iCs/>
                <w:sz w:val="18"/>
                <w:lang w:val="sq-AL"/>
              </w:rPr>
              <w:t>.</w:t>
            </w:r>
            <w:r w:rsidRPr="00543A29">
              <w:rPr>
                <w:rFonts w:ascii="Garamond" w:hAnsi="Garamond"/>
                <w:iCs/>
                <w:sz w:val="18"/>
                <w:lang w:val="sq-AL"/>
              </w:rPr>
              <w:t>2</w:t>
            </w:r>
            <w:r w:rsidR="00543A29">
              <w:rPr>
                <w:rFonts w:ascii="Garamond" w:hAnsi="Garamond"/>
                <w:iCs/>
                <w:sz w:val="18"/>
                <w:lang w:val="sq-AL"/>
              </w:rPr>
              <w:t>.</w:t>
            </w:r>
            <w:r w:rsidRPr="00543A29">
              <w:rPr>
                <w:rFonts w:ascii="Garamond" w:hAnsi="Garamond"/>
                <w:iCs/>
                <w:sz w:val="18"/>
                <w:lang w:val="sq-AL"/>
              </w:rPr>
              <w:t>2008</w:t>
            </w:r>
          </w:p>
        </w:tc>
        <w:tc>
          <w:tcPr>
            <w:tcW w:w="1313" w:type="dxa"/>
          </w:tcPr>
          <w:p w14:paraId="60C2137C" w14:textId="00AE15C8"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26</w:t>
            </w:r>
            <w:r w:rsidR="00543A29">
              <w:rPr>
                <w:rFonts w:ascii="Garamond" w:hAnsi="Garamond"/>
                <w:iCs/>
                <w:sz w:val="18"/>
                <w:lang w:val="sq-AL"/>
              </w:rPr>
              <w:t>.</w:t>
            </w:r>
            <w:r w:rsidRPr="00543A29">
              <w:rPr>
                <w:rFonts w:ascii="Garamond" w:hAnsi="Garamond"/>
                <w:iCs/>
                <w:sz w:val="18"/>
                <w:lang w:val="sq-AL"/>
              </w:rPr>
              <w:t>2</w:t>
            </w:r>
            <w:r w:rsidR="00543A29">
              <w:rPr>
                <w:rFonts w:ascii="Garamond" w:hAnsi="Garamond"/>
                <w:iCs/>
                <w:sz w:val="18"/>
                <w:lang w:val="sq-AL"/>
              </w:rPr>
              <w:t>.</w:t>
            </w:r>
            <w:r w:rsidRPr="00543A29">
              <w:rPr>
                <w:rFonts w:ascii="Garamond" w:hAnsi="Garamond"/>
                <w:iCs/>
                <w:sz w:val="18"/>
                <w:lang w:val="sq-AL"/>
              </w:rPr>
              <w:t>2010</w:t>
            </w:r>
          </w:p>
        </w:tc>
        <w:tc>
          <w:tcPr>
            <w:tcW w:w="2099" w:type="dxa"/>
          </w:tcPr>
          <w:p w14:paraId="6463041D" w14:textId="28249590"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10</w:t>
            </w:r>
            <w:r w:rsidR="00543A29">
              <w:rPr>
                <w:rFonts w:ascii="Garamond" w:hAnsi="Garamond"/>
                <w:iCs/>
                <w:sz w:val="18"/>
                <w:lang w:val="sq-AL"/>
              </w:rPr>
              <w:t>.</w:t>
            </w:r>
            <w:r w:rsidRPr="00543A29">
              <w:rPr>
                <w:rFonts w:ascii="Garamond" w:hAnsi="Garamond"/>
                <w:iCs/>
                <w:sz w:val="18"/>
                <w:lang w:val="sq-AL"/>
              </w:rPr>
              <w:t>10</w:t>
            </w:r>
            <w:r w:rsidR="00543A29">
              <w:rPr>
                <w:rFonts w:ascii="Garamond" w:hAnsi="Garamond"/>
                <w:iCs/>
                <w:sz w:val="18"/>
                <w:lang w:val="sq-AL"/>
              </w:rPr>
              <w:t>.</w:t>
            </w:r>
            <w:r w:rsidRPr="00543A29">
              <w:rPr>
                <w:rFonts w:ascii="Garamond" w:hAnsi="Garamond"/>
                <w:iCs/>
                <w:sz w:val="18"/>
                <w:lang w:val="sq-AL"/>
              </w:rPr>
              <w:t>2013</w:t>
            </w:r>
          </w:p>
          <w:p w14:paraId="7C490F56" w14:textId="151F1296"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(n</w:t>
            </w:r>
            <w:r w:rsidR="00153AA4" w:rsidRPr="00543A29">
              <w:rPr>
                <w:rFonts w:ascii="Garamond" w:hAnsi="Garamond"/>
                <w:iCs/>
                <w:sz w:val="18"/>
                <w:lang w:val="sq-AL"/>
              </w:rPr>
              <w:t>ë</w:t>
            </w:r>
            <w:r w:rsidRPr="00543A29">
              <w:rPr>
                <w:rFonts w:ascii="Garamond" w:hAnsi="Garamond"/>
                <w:iCs/>
                <w:sz w:val="18"/>
                <w:lang w:val="sq-AL"/>
              </w:rPr>
              <w:t xml:space="preserve"> at</w:t>
            </w:r>
            <w:r w:rsidR="00153AA4" w:rsidRPr="00543A29">
              <w:rPr>
                <w:rFonts w:ascii="Garamond" w:hAnsi="Garamond"/>
                <w:iCs/>
                <w:sz w:val="18"/>
                <w:lang w:val="sq-AL"/>
              </w:rPr>
              <w:t>ë</w:t>
            </w:r>
            <w:r w:rsidRPr="00543A29">
              <w:rPr>
                <w:rFonts w:ascii="Garamond" w:hAnsi="Garamond"/>
                <w:iCs/>
                <w:sz w:val="18"/>
                <w:lang w:val="sq-AL"/>
              </w:rPr>
              <w:t xml:space="preserve"> dat</w:t>
            </w:r>
            <w:r w:rsidR="00153AA4" w:rsidRPr="00543A29">
              <w:rPr>
                <w:rFonts w:ascii="Garamond" w:hAnsi="Garamond"/>
                <w:iCs/>
                <w:sz w:val="18"/>
                <w:lang w:val="sq-AL"/>
              </w:rPr>
              <w:t>ë</w:t>
            </w:r>
            <w:r w:rsidRPr="00543A29">
              <w:rPr>
                <w:rFonts w:ascii="Garamond" w:hAnsi="Garamond"/>
                <w:iCs/>
                <w:sz w:val="18"/>
                <w:lang w:val="sq-AL"/>
              </w:rPr>
              <w:t>, k</w:t>
            </w:r>
            <w:r w:rsidR="00153AA4" w:rsidRPr="00543A29">
              <w:rPr>
                <w:rFonts w:ascii="Garamond" w:hAnsi="Garamond"/>
                <w:iCs/>
                <w:sz w:val="18"/>
                <w:lang w:val="sq-AL"/>
              </w:rPr>
              <w:t>ë</w:t>
            </w:r>
            <w:r w:rsidRPr="00543A29">
              <w:rPr>
                <w:rFonts w:ascii="Garamond" w:hAnsi="Garamond"/>
                <w:iCs/>
                <w:sz w:val="18"/>
                <w:lang w:val="sq-AL"/>
              </w:rPr>
              <w:t>rkuesja u rikthye n</w:t>
            </w:r>
            <w:r w:rsidR="00153AA4" w:rsidRPr="00543A29">
              <w:rPr>
                <w:rFonts w:ascii="Garamond" w:hAnsi="Garamond"/>
                <w:iCs/>
                <w:sz w:val="18"/>
                <w:lang w:val="sq-AL"/>
              </w:rPr>
              <w:t>ë</w:t>
            </w:r>
            <w:r w:rsidRPr="00543A29">
              <w:rPr>
                <w:rFonts w:ascii="Garamond" w:hAnsi="Garamond"/>
                <w:iCs/>
                <w:sz w:val="18"/>
                <w:lang w:val="sq-AL"/>
              </w:rPr>
              <w:t xml:space="preserve"> pozicionin e m</w:t>
            </w:r>
            <w:r w:rsidR="00153AA4" w:rsidRPr="00543A29">
              <w:rPr>
                <w:rFonts w:ascii="Garamond" w:hAnsi="Garamond"/>
                <w:iCs/>
                <w:sz w:val="18"/>
                <w:lang w:val="sq-AL"/>
              </w:rPr>
              <w:t>ë</w:t>
            </w:r>
            <w:r w:rsidRPr="00543A29">
              <w:rPr>
                <w:rFonts w:ascii="Garamond" w:hAnsi="Garamond"/>
                <w:iCs/>
                <w:sz w:val="18"/>
                <w:lang w:val="sq-AL"/>
              </w:rPr>
              <w:t>parsh</w:t>
            </w:r>
            <w:r w:rsidR="00153AA4" w:rsidRPr="00543A29">
              <w:rPr>
                <w:rFonts w:ascii="Garamond" w:hAnsi="Garamond"/>
                <w:iCs/>
                <w:sz w:val="18"/>
                <w:lang w:val="sq-AL"/>
              </w:rPr>
              <w:t>ë</w:t>
            </w:r>
            <w:r w:rsidRPr="00543A29">
              <w:rPr>
                <w:rFonts w:ascii="Garamond" w:hAnsi="Garamond"/>
                <w:iCs/>
                <w:sz w:val="18"/>
                <w:lang w:val="sq-AL"/>
              </w:rPr>
              <w:t>m deri n</w:t>
            </w:r>
            <w:r w:rsidR="00153AA4" w:rsidRPr="00543A29">
              <w:rPr>
                <w:rFonts w:ascii="Garamond" w:hAnsi="Garamond"/>
                <w:iCs/>
                <w:sz w:val="18"/>
                <w:lang w:val="sq-AL"/>
              </w:rPr>
              <w:t>ë</w:t>
            </w:r>
            <w:r w:rsidRPr="00543A29">
              <w:rPr>
                <w:rFonts w:ascii="Garamond" w:hAnsi="Garamond"/>
                <w:iCs/>
                <w:sz w:val="18"/>
                <w:lang w:val="sq-AL"/>
              </w:rPr>
              <w:t xml:space="preserve"> vitin 2018, kur ajo u shkarkua p</w:t>
            </w:r>
            <w:r w:rsidR="00153AA4" w:rsidRPr="00543A29">
              <w:rPr>
                <w:rFonts w:ascii="Garamond" w:hAnsi="Garamond"/>
                <w:iCs/>
                <w:sz w:val="18"/>
                <w:lang w:val="sq-AL"/>
              </w:rPr>
              <w:t>ë</w:t>
            </w:r>
            <w:r w:rsidRPr="00543A29">
              <w:rPr>
                <w:rFonts w:ascii="Garamond" w:hAnsi="Garamond"/>
                <w:iCs/>
                <w:sz w:val="18"/>
                <w:lang w:val="sq-AL"/>
              </w:rPr>
              <w:t>rs</w:t>
            </w:r>
            <w:r w:rsidR="00153AA4" w:rsidRPr="00543A29">
              <w:rPr>
                <w:rFonts w:ascii="Garamond" w:hAnsi="Garamond"/>
                <w:iCs/>
                <w:sz w:val="18"/>
                <w:lang w:val="sq-AL"/>
              </w:rPr>
              <w:t>ë</w:t>
            </w:r>
            <w:r w:rsidRPr="00543A29">
              <w:rPr>
                <w:rFonts w:ascii="Garamond" w:hAnsi="Garamond"/>
                <w:iCs/>
                <w:sz w:val="18"/>
                <w:lang w:val="sq-AL"/>
              </w:rPr>
              <w:t>ri pas nj</w:t>
            </w:r>
            <w:r w:rsidR="00153AA4" w:rsidRPr="00543A29">
              <w:rPr>
                <w:rFonts w:ascii="Garamond" w:hAnsi="Garamond"/>
                <w:iCs/>
                <w:sz w:val="18"/>
                <w:lang w:val="sq-AL"/>
              </w:rPr>
              <w:t>ë</w:t>
            </w:r>
            <w:r w:rsidRPr="00543A29">
              <w:rPr>
                <w:rFonts w:ascii="Garamond" w:hAnsi="Garamond"/>
                <w:iCs/>
                <w:sz w:val="18"/>
                <w:lang w:val="sq-AL"/>
              </w:rPr>
              <w:t xml:space="preserve"> procesi tjet</w:t>
            </w:r>
            <w:r w:rsidR="00153AA4" w:rsidRPr="00543A29">
              <w:rPr>
                <w:rFonts w:ascii="Garamond" w:hAnsi="Garamond"/>
                <w:iCs/>
                <w:sz w:val="18"/>
                <w:lang w:val="sq-AL"/>
              </w:rPr>
              <w:t>ë</w:t>
            </w:r>
            <w:r w:rsidRPr="00543A29">
              <w:rPr>
                <w:rFonts w:ascii="Garamond" w:hAnsi="Garamond"/>
                <w:iCs/>
                <w:sz w:val="18"/>
                <w:lang w:val="sq-AL"/>
              </w:rPr>
              <w:t>r disiplinor)</w:t>
            </w:r>
          </w:p>
          <w:p w14:paraId="02F775F5" w14:textId="77777777" w:rsidR="006474C8" w:rsidRPr="00543A29" w:rsidRDefault="006474C8" w:rsidP="00AC1AFD">
            <w:pPr>
              <w:pStyle w:val="ECHRDecisionBody"/>
              <w:jc w:val="center"/>
              <w:rPr>
                <w:rFonts w:ascii="Garamond" w:hAnsi="Garamond"/>
                <w:iCs/>
                <w:sz w:val="18"/>
                <w:lang w:val="sq-AL"/>
              </w:rPr>
            </w:pPr>
          </w:p>
          <w:p w14:paraId="69B537E8" w14:textId="2F7EF2B1"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3 vite dhe 7 muaj dhe 15 dit</w:t>
            </w:r>
            <w:r w:rsidR="00153AA4" w:rsidRPr="00543A29">
              <w:rPr>
                <w:rFonts w:ascii="Garamond" w:hAnsi="Garamond"/>
                <w:iCs/>
                <w:sz w:val="18"/>
                <w:lang w:val="sq-AL"/>
              </w:rPr>
              <w:t>ë</w:t>
            </w:r>
            <w:r w:rsidRPr="00543A29">
              <w:rPr>
                <w:rFonts w:ascii="Garamond" w:hAnsi="Garamond"/>
                <w:iCs/>
                <w:sz w:val="18"/>
                <w:lang w:val="sq-AL"/>
              </w:rPr>
              <w:t xml:space="preserve"> n</w:t>
            </w:r>
            <w:r w:rsidR="00153AA4" w:rsidRPr="00543A29">
              <w:rPr>
                <w:rFonts w:ascii="Garamond" w:hAnsi="Garamond"/>
                <w:iCs/>
                <w:sz w:val="18"/>
                <w:lang w:val="sq-AL"/>
              </w:rPr>
              <w:t>ë</w:t>
            </w:r>
            <w:r w:rsidRPr="00543A29">
              <w:rPr>
                <w:rFonts w:ascii="Garamond" w:hAnsi="Garamond"/>
                <w:iCs/>
                <w:sz w:val="18"/>
                <w:lang w:val="sq-AL"/>
              </w:rPr>
              <w:t xml:space="preserve"> lidhje me kthimin n</w:t>
            </w:r>
            <w:r w:rsidR="00153AA4" w:rsidRPr="00543A29">
              <w:rPr>
                <w:rFonts w:ascii="Garamond" w:hAnsi="Garamond"/>
                <w:iCs/>
                <w:sz w:val="18"/>
                <w:lang w:val="sq-AL"/>
              </w:rPr>
              <w:t>ë</w:t>
            </w:r>
            <w:r w:rsidRPr="00543A29">
              <w:rPr>
                <w:rFonts w:ascii="Garamond" w:hAnsi="Garamond"/>
                <w:iCs/>
                <w:sz w:val="18"/>
                <w:lang w:val="sq-AL"/>
              </w:rPr>
              <w:t xml:space="preserve"> detyr</w:t>
            </w:r>
            <w:r w:rsidR="00153AA4" w:rsidRPr="00543A29">
              <w:rPr>
                <w:rFonts w:ascii="Garamond" w:hAnsi="Garamond"/>
                <w:iCs/>
                <w:sz w:val="18"/>
                <w:lang w:val="sq-AL"/>
              </w:rPr>
              <w:t>ë</w:t>
            </w:r>
            <w:r w:rsidRPr="00543A29">
              <w:rPr>
                <w:rFonts w:ascii="Garamond" w:hAnsi="Garamond"/>
                <w:iCs/>
                <w:sz w:val="18"/>
                <w:lang w:val="sq-AL"/>
              </w:rPr>
              <w:t xml:space="preserve"> </w:t>
            </w:r>
          </w:p>
          <w:p w14:paraId="11036D65" w14:textId="7F476425"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dhe ekzekutimi pezull p</w:t>
            </w:r>
            <w:r w:rsidR="00153AA4" w:rsidRPr="00543A29">
              <w:rPr>
                <w:rFonts w:ascii="Garamond" w:hAnsi="Garamond"/>
                <w:iCs/>
                <w:sz w:val="18"/>
                <w:lang w:val="sq-AL"/>
              </w:rPr>
              <w:t>ë</w:t>
            </w:r>
            <w:r w:rsidRPr="00543A29">
              <w:rPr>
                <w:rFonts w:ascii="Garamond" w:hAnsi="Garamond"/>
                <w:iCs/>
                <w:sz w:val="18"/>
                <w:lang w:val="sq-AL"/>
              </w:rPr>
              <w:t>r shlyerjen e pagave t</w:t>
            </w:r>
            <w:r w:rsidR="00153AA4" w:rsidRPr="00543A29">
              <w:rPr>
                <w:rFonts w:ascii="Garamond" w:hAnsi="Garamond"/>
                <w:iCs/>
                <w:sz w:val="18"/>
                <w:lang w:val="sq-AL"/>
              </w:rPr>
              <w:t>ë</w:t>
            </w:r>
            <w:r w:rsidRPr="00543A29">
              <w:rPr>
                <w:rFonts w:ascii="Garamond" w:hAnsi="Garamond"/>
                <w:iCs/>
                <w:sz w:val="18"/>
                <w:lang w:val="sq-AL"/>
              </w:rPr>
              <w:t xml:space="preserve"> prapambetura</w:t>
            </w:r>
          </w:p>
        </w:tc>
        <w:tc>
          <w:tcPr>
            <w:tcW w:w="1392" w:type="dxa"/>
          </w:tcPr>
          <w:p w14:paraId="25D4D352" w14:textId="6C86B9B9"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t>Komisioni i Sh</w:t>
            </w:r>
            <w:r w:rsidR="00153AA4" w:rsidRPr="00543A29">
              <w:rPr>
                <w:rFonts w:ascii="Garamond" w:hAnsi="Garamond"/>
                <w:iCs/>
                <w:sz w:val="18"/>
                <w:lang w:val="sq-AL"/>
              </w:rPr>
              <w:t>ë</w:t>
            </w:r>
            <w:r w:rsidRPr="00543A29">
              <w:rPr>
                <w:rFonts w:ascii="Garamond" w:hAnsi="Garamond"/>
                <w:iCs/>
                <w:sz w:val="18"/>
                <w:lang w:val="sq-AL"/>
              </w:rPr>
              <w:t>rbimit Civil, vendimi i dat</w:t>
            </w:r>
            <w:r w:rsidR="00153AA4" w:rsidRPr="00543A29">
              <w:rPr>
                <w:rFonts w:ascii="Garamond" w:hAnsi="Garamond"/>
                <w:iCs/>
                <w:sz w:val="18"/>
                <w:lang w:val="sq-AL"/>
              </w:rPr>
              <w:t>ë</w:t>
            </w:r>
            <w:r w:rsidRPr="00543A29">
              <w:rPr>
                <w:rFonts w:ascii="Garamond" w:hAnsi="Garamond"/>
                <w:iCs/>
                <w:sz w:val="18"/>
                <w:lang w:val="sq-AL"/>
              </w:rPr>
              <w:t>s 12</w:t>
            </w:r>
            <w:r w:rsidR="00543A29">
              <w:rPr>
                <w:rFonts w:ascii="Garamond" w:hAnsi="Garamond"/>
                <w:iCs/>
                <w:sz w:val="18"/>
                <w:lang w:val="sq-AL"/>
              </w:rPr>
              <w:t>.</w:t>
            </w:r>
            <w:r w:rsidRPr="00543A29">
              <w:rPr>
                <w:rFonts w:ascii="Garamond" w:hAnsi="Garamond"/>
                <w:iCs/>
                <w:sz w:val="18"/>
                <w:lang w:val="sq-AL"/>
              </w:rPr>
              <w:t>2</w:t>
            </w:r>
            <w:r w:rsidR="00543A29">
              <w:rPr>
                <w:rFonts w:ascii="Garamond" w:hAnsi="Garamond"/>
                <w:iCs/>
                <w:sz w:val="18"/>
                <w:lang w:val="sq-AL"/>
              </w:rPr>
              <w:t>.</w:t>
            </w:r>
            <w:r w:rsidRPr="00543A29">
              <w:rPr>
                <w:rFonts w:ascii="Garamond" w:hAnsi="Garamond"/>
                <w:iCs/>
                <w:sz w:val="18"/>
                <w:lang w:val="sq-AL"/>
              </w:rPr>
              <w:t>2008 p</w:t>
            </w:r>
            <w:r w:rsidR="00153AA4" w:rsidRPr="00543A29">
              <w:rPr>
                <w:rFonts w:ascii="Garamond" w:hAnsi="Garamond"/>
                <w:iCs/>
                <w:sz w:val="18"/>
                <w:lang w:val="sq-AL"/>
              </w:rPr>
              <w:t>ë</w:t>
            </w:r>
            <w:r w:rsidRPr="00543A29">
              <w:rPr>
                <w:rFonts w:ascii="Garamond" w:hAnsi="Garamond"/>
                <w:iCs/>
                <w:sz w:val="18"/>
                <w:lang w:val="sq-AL"/>
              </w:rPr>
              <w:t>rmes s</w:t>
            </w:r>
            <w:r w:rsidR="00153AA4" w:rsidRPr="00543A29">
              <w:rPr>
                <w:rFonts w:ascii="Garamond" w:hAnsi="Garamond"/>
                <w:iCs/>
                <w:sz w:val="18"/>
                <w:lang w:val="sq-AL"/>
              </w:rPr>
              <w:t>ë</w:t>
            </w:r>
            <w:r w:rsidRPr="00543A29">
              <w:rPr>
                <w:rFonts w:ascii="Garamond" w:hAnsi="Garamond"/>
                <w:iCs/>
                <w:sz w:val="18"/>
                <w:lang w:val="sq-AL"/>
              </w:rPr>
              <w:t xml:space="preserve"> cilit urdh</w:t>
            </w:r>
            <w:r w:rsidR="00153AA4" w:rsidRPr="00543A29">
              <w:rPr>
                <w:rFonts w:ascii="Garamond" w:hAnsi="Garamond"/>
                <w:iCs/>
                <w:sz w:val="18"/>
                <w:lang w:val="sq-AL"/>
              </w:rPr>
              <w:t>ë</w:t>
            </w:r>
            <w:r w:rsidRPr="00543A29">
              <w:rPr>
                <w:rFonts w:ascii="Garamond" w:hAnsi="Garamond"/>
                <w:iCs/>
                <w:sz w:val="18"/>
                <w:lang w:val="sq-AL"/>
              </w:rPr>
              <w:t>rohej rikthimi i saj n</w:t>
            </w:r>
            <w:r w:rsidR="00153AA4" w:rsidRPr="00543A29">
              <w:rPr>
                <w:rFonts w:ascii="Garamond" w:hAnsi="Garamond"/>
                <w:iCs/>
                <w:sz w:val="18"/>
                <w:lang w:val="sq-AL"/>
              </w:rPr>
              <w:t>ë</w:t>
            </w:r>
            <w:r w:rsidRPr="00543A29">
              <w:rPr>
                <w:rFonts w:ascii="Garamond" w:hAnsi="Garamond"/>
                <w:iCs/>
                <w:sz w:val="18"/>
                <w:lang w:val="sq-AL"/>
              </w:rPr>
              <w:t xml:space="preserve"> detyr</w:t>
            </w:r>
            <w:r w:rsidR="00153AA4" w:rsidRPr="00543A29">
              <w:rPr>
                <w:rFonts w:ascii="Garamond" w:hAnsi="Garamond"/>
                <w:iCs/>
                <w:sz w:val="18"/>
                <w:lang w:val="sq-AL"/>
              </w:rPr>
              <w:t>ë</w:t>
            </w:r>
            <w:r w:rsidRPr="00543A29">
              <w:rPr>
                <w:rFonts w:ascii="Garamond" w:hAnsi="Garamond"/>
                <w:iCs/>
                <w:sz w:val="18"/>
                <w:lang w:val="sq-AL"/>
              </w:rPr>
              <w:t xml:space="preserve"> dhe shlyerja e pagave t</w:t>
            </w:r>
            <w:r w:rsidR="00153AA4" w:rsidRPr="00543A29">
              <w:rPr>
                <w:rFonts w:ascii="Garamond" w:hAnsi="Garamond"/>
                <w:iCs/>
                <w:sz w:val="18"/>
                <w:lang w:val="sq-AL"/>
              </w:rPr>
              <w:t>ë</w:t>
            </w:r>
            <w:r w:rsidRPr="00543A29">
              <w:rPr>
                <w:rFonts w:ascii="Garamond" w:hAnsi="Garamond"/>
                <w:iCs/>
                <w:sz w:val="18"/>
                <w:lang w:val="sq-AL"/>
              </w:rPr>
              <w:t xml:space="preserve"> prapambetura deri n</w:t>
            </w:r>
            <w:r w:rsidR="00153AA4" w:rsidRPr="00543A29">
              <w:rPr>
                <w:rFonts w:ascii="Garamond" w:hAnsi="Garamond"/>
                <w:iCs/>
                <w:sz w:val="18"/>
                <w:lang w:val="sq-AL"/>
              </w:rPr>
              <w:t>ë</w:t>
            </w:r>
            <w:r w:rsidRPr="00543A29">
              <w:rPr>
                <w:rFonts w:ascii="Garamond" w:hAnsi="Garamond"/>
                <w:iCs/>
                <w:sz w:val="18"/>
                <w:lang w:val="sq-AL"/>
              </w:rPr>
              <w:t xml:space="preserve"> rikthim</w:t>
            </w:r>
          </w:p>
        </w:tc>
        <w:tc>
          <w:tcPr>
            <w:tcW w:w="1348" w:type="dxa"/>
          </w:tcPr>
          <w:p w14:paraId="694AE082" w14:textId="34EF6BE1"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t>Urdhri i gjykat</w:t>
            </w:r>
            <w:r w:rsidR="00153AA4" w:rsidRPr="00543A29">
              <w:rPr>
                <w:rFonts w:ascii="Garamond" w:hAnsi="Garamond"/>
                <w:iCs/>
                <w:sz w:val="18"/>
                <w:lang w:val="sq-AL"/>
              </w:rPr>
              <w:t>ë</w:t>
            </w:r>
            <w:r w:rsidRPr="00543A29">
              <w:rPr>
                <w:rFonts w:ascii="Garamond" w:hAnsi="Garamond"/>
                <w:iCs/>
                <w:sz w:val="18"/>
                <w:lang w:val="sq-AL"/>
              </w:rPr>
              <w:t>s p</w:t>
            </w:r>
            <w:r w:rsidR="00153AA4" w:rsidRPr="00543A29">
              <w:rPr>
                <w:rFonts w:ascii="Garamond" w:hAnsi="Garamond"/>
                <w:iCs/>
                <w:sz w:val="18"/>
                <w:lang w:val="sq-AL"/>
              </w:rPr>
              <w:t>ë</w:t>
            </w:r>
            <w:r w:rsidRPr="00543A29">
              <w:rPr>
                <w:rFonts w:ascii="Garamond" w:hAnsi="Garamond"/>
                <w:iCs/>
                <w:sz w:val="18"/>
                <w:lang w:val="sq-AL"/>
              </w:rPr>
              <w:t>r ekzekutimin e vendimit l</w:t>
            </w:r>
            <w:r w:rsidR="00153AA4" w:rsidRPr="00543A29">
              <w:rPr>
                <w:rFonts w:ascii="Garamond" w:hAnsi="Garamond"/>
                <w:iCs/>
                <w:sz w:val="18"/>
                <w:lang w:val="sq-AL"/>
              </w:rPr>
              <w:t>ë</w:t>
            </w:r>
            <w:r w:rsidRPr="00543A29">
              <w:rPr>
                <w:rFonts w:ascii="Garamond" w:hAnsi="Garamond"/>
                <w:iCs/>
                <w:sz w:val="18"/>
                <w:lang w:val="sq-AL"/>
              </w:rPr>
              <w:t>shuar nga Gjykata e Rrethit Tiran</w:t>
            </w:r>
            <w:r w:rsidR="00153AA4" w:rsidRPr="00543A29">
              <w:rPr>
                <w:rFonts w:ascii="Garamond" w:hAnsi="Garamond"/>
                <w:iCs/>
                <w:sz w:val="18"/>
                <w:lang w:val="sq-AL"/>
              </w:rPr>
              <w:t>ë</w:t>
            </w:r>
            <w:r w:rsidRPr="00543A29">
              <w:rPr>
                <w:rFonts w:ascii="Garamond" w:hAnsi="Garamond"/>
                <w:iCs/>
                <w:sz w:val="18"/>
                <w:lang w:val="sq-AL"/>
              </w:rPr>
              <w:t>, m</w:t>
            </w:r>
            <w:r w:rsidR="00153AA4" w:rsidRPr="00543A29">
              <w:rPr>
                <w:rFonts w:ascii="Garamond" w:hAnsi="Garamond"/>
                <w:iCs/>
                <w:sz w:val="18"/>
                <w:lang w:val="sq-AL"/>
              </w:rPr>
              <w:t>ë</w:t>
            </w:r>
            <w:r w:rsidRPr="00543A29">
              <w:rPr>
                <w:rFonts w:ascii="Garamond" w:hAnsi="Garamond"/>
                <w:iCs/>
                <w:sz w:val="18"/>
                <w:lang w:val="sq-AL"/>
              </w:rPr>
              <w:t xml:space="preserve"> 18</w:t>
            </w:r>
            <w:r w:rsidR="00543A29">
              <w:rPr>
                <w:rFonts w:ascii="Garamond" w:hAnsi="Garamond"/>
                <w:iCs/>
                <w:sz w:val="18"/>
                <w:lang w:val="sq-AL"/>
              </w:rPr>
              <w:t>.</w:t>
            </w:r>
            <w:r w:rsidRPr="00543A29">
              <w:rPr>
                <w:rFonts w:ascii="Garamond" w:hAnsi="Garamond"/>
                <w:iCs/>
                <w:sz w:val="18"/>
                <w:lang w:val="sq-AL"/>
              </w:rPr>
              <w:t>12</w:t>
            </w:r>
            <w:r w:rsidR="00543A29">
              <w:rPr>
                <w:rFonts w:ascii="Garamond" w:hAnsi="Garamond"/>
                <w:iCs/>
                <w:sz w:val="18"/>
                <w:lang w:val="sq-AL"/>
              </w:rPr>
              <w:t>.</w:t>
            </w:r>
            <w:r w:rsidRPr="00543A29">
              <w:rPr>
                <w:rFonts w:ascii="Garamond" w:hAnsi="Garamond"/>
                <w:iCs/>
                <w:sz w:val="18"/>
                <w:lang w:val="sq-AL"/>
              </w:rPr>
              <w:t>2008</w:t>
            </w:r>
          </w:p>
        </w:tc>
        <w:tc>
          <w:tcPr>
            <w:tcW w:w="1079" w:type="dxa"/>
          </w:tcPr>
          <w:p w14:paraId="795E5E7D" w14:textId="56AF3800"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t>2,100</w:t>
            </w:r>
          </w:p>
        </w:tc>
        <w:tc>
          <w:tcPr>
            <w:tcW w:w="1412" w:type="dxa"/>
          </w:tcPr>
          <w:p w14:paraId="70BBB8A5" w14:textId="11343553" w:rsidR="006474C8" w:rsidRPr="00543A29" w:rsidRDefault="006474C8" w:rsidP="00AC1AFD">
            <w:pPr>
              <w:pStyle w:val="ECHRDecisionBody"/>
              <w:jc w:val="center"/>
              <w:rPr>
                <w:rFonts w:ascii="Garamond" w:hAnsi="Garamond"/>
                <w:iCs/>
                <w:sz w:val="18"/>
                <w:lang w:val="sq-AL"/>
              </w:rPr>
            </w:pPr>
          </w:p>
        </w:tc>
      </w:tr>
      <w:tr w:rsidR="00317F5E" w:rsidRPr="00543A29" w14:paraId="78530111" w14:textId="77777777" w:rsidTr="00317F5E">
        <w:trPr>
          <w:jc w:val="center"/>
        </w:trPr>
        <w:tc>
          <w:tcPr>
            <w:tcW w:w="524" w:type="dxa"/>
            <w:tcBorders>
              <w:top w:val="single" w:sz="4" w:space="0" w:color="auto"/>
              <w:left w:val="single" w:sz="4" w:space="0" w:color="auto"/>
              <w:bottom w:val="single" w:sz="4" w:space="0" w:color="auto"/>
            </w:tcBorders>
            <w:shd w:val="clear" w:color="auto" w:fill="auto"/>
          </w:tcPr>
          <w:p w14:paraId="6A44BED3" w14:textId="7CE21370"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2</w:t>
            </w:r>
          </w:p>
          <w:p w14:paraId="6EFB3CAC" w14:textId="77777777" w:rsidR="006474C8" w:rsidRPr="00543A29" w:rsidRDefault="006474C8" w:rsidP="00AC1AFD">
            <w:pPr>
              <w:pStyle w:val="ECHRDecisionBody"/>
              <w:jc w:val="center"/>
              <w:rPr>
                <w:rFonts w:ascii="Garamond" w:hAnsi="Garamond"/>
                <w:iCs/>
                <w:sz w:val="18"/>
                <w:lang w:val="sq-AL"/>
              </w:rPr>
            </w:pPr>
          </w:p>
        </w:tc>
        <w:tc>
          <w:tcPr>
            <w:tcW w:w="1362" w:type="dxa"/>
          </w:tcPr>
          <w:p w14:paraId="3F758A52" w14:textId="7777777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35321/11</w:t>
            </w:r>
          </w:p>
          <w:p w14:paraId="1A914E4F" w14:textId="0CB65916"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8</w:t>
            </w:r>
            <w:r w:rsidR="000B129D">
              <w:rPr>
                <w:rFonts w:ascii="Garamond" w:hAnsi="Garamond"/>
                <w:iCs/>
                <w:sz w:val="18"/>
                <w:lang w:val="sq-AL"/>
              </w:rPr>
              <w:t>.</w:t>
            </w:r>
            <w:r w:rsidRPr="00543A29">
              <w:rPr>
                <w:rFonts w:ascii="Garamond" w:hAnsi="Garamond"/>
                <w:iCs/>
                <w:sz w:val="18"/>
                <w:lang w:val="sq-AL"/>
              </w:rPr>
              <w:t>6</w:t>
            </w:r>
            <w:r w:rsidR="000B129D">
              <w:rPr>
                <w:rFonts w:ascii="Garamond" w:hAnsi="Garamond"/>
                <w:iCs/>
                <w:sz w:val="18"/>
                <w:lang w:val="sq-AL"/>
              </w:rPr>
              <w:t>.</w:t>
            </w:r>
            <w:r w:rsidRPr="00543A29">
              <w:rPr>
                <w:rFonts w:ascii="Garamond" w:hAnsi="Garamond"/>
                <w:iCs/>
                <w:sz w:val="18"/>
                <w:lang w:val="sq-AL"/>
              </w:rPr>
              <w:t>2011</w:t>
            </w:r>
          </w:p>
        </w:tc>
        <w:tc>
          <w:tcPr>
            <w:tcW w:w="1441" w:type="dxa"/>
          </w:tcPr>
          <w:p w14:paraId="5375F8AD" w14:textId="2E7CB2E7" w:rsidR="006474C8" w:rsidRPr="00543A29" w:rsidRDefault="006474C8" w:rsidP="00AC1AFD">
            <w:pPr>
              <w:pStyle w:val="ECHRDecisionBody"/>
              <w:jc w:val="center"/>
              <w:rPr>
                <w:rFonts w:ascii="Garamond" w:hAnsi="Garamond"/>
                <w:b/>
                <w:bCs/>
                <w:iCs/>
                <w:sz w:val="18"/>
                <w:lang w:val="sq-AL"/>
              </w:rPr>
            </w:pPr>
            <w:proofErr w:type="spellStart"/>
            <w:r w:rsidRPr="00543A29">
              <w:rPr>
                <w:rFonts w:ascii="Garamond" w:hAnsi="Garamond"/>
                <w:b/>
                <w:bCs/>
                <w:iCs/>
                <w:sz w:val="18"/>
                <w:lang w:val="sq-AL"/>
              </w:rPr>
              <w:t>Edmond</w:t>
            </w:r>
            <w:proofErr w:type="spellEnd"/>
            <w:r w:rsidRPr="00543A29">
              <w:rPr>
                <w:rFonts w:ascii="Garamond" w:hAnsi="Garamond"/>
                <w:b/>
                <w:bCs/>
                <w:iCs/>
                <w:sz w:val="18"/>
                <w:lang w:val="sq-AL"/>
              </w:rPr>
              <w:t xml:space="preserve"> PEJO</w:t>
            </w:r>
          </w:p>
          <w:p w14:paraId="6FD1E5BA" w14:textId="5FFFF3B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1955</w:t>
            </w:r>
          </w:p>
        </w:tc>
        <w:tc>
          <w:tcPr>
            <w:tcW w:w="1227" w:type="dxa"/>
          </w:tcPr>
          <w:p w14:paraId="5D298C03" w14:textId="77777777" w:rsidR="006474C8" w:rsidRPr="00543A29" w:rsidRDefault="006474C8" w:rsidP="00AC1AFD">
            <w:pPr>
              <w:pStyle w:val="ECHRDecisionBody"/>
              <w:jc w:val="center"/>
              <w:rPr>
                <w:rFonts w:ascii="Garamond" w:hAnsi="Garamond"/>
                <w:iCs/>
                <w:sz w:val="18"/>
                <w:lang w:val="sq-AL"/>
              </w:rPr>
            </w:pPr>
          </w:p>
        </w:tc>
        <w:tc>
          <w:tcPr>
            <w:tcW w:w="1641" w:type="dxa"/>
          </w:tcPr>
          <w:p w14:paraId="53AE4618" w14:textId="47194C7E"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Gjykata e Rrethit Tiran</w:t>
            </w:r>
            <w:r w:rsidR="00153AA4" w:rsidRPr="00543A29">
              <w:rPr>
                <w:rFonts w:ascii="Garamond" w:hAnsi="Garamond"/>
                <w:iCs/>
                <w:sz w:val="18"/>
                <w:lang w:val="sq-AL"/>
              </w:rPr>
              <w:t>ë</w:t>
            </w:r>
            <w:r w:rsidRPr="00543A29">
              <w:rPr>
                <w:rFonts w:ascii="Garamond" w:hAnsi="Garamond"/>
                <w:iCs/>
                <w:sz w:val="18"/>
                <w:lang w:val="sq-AL"/>
              </w:rPr>
              <w:t xml:space="preserve">, </w:t>
            </w:r>
          </w:p>
          <w:p w14:paraId="40A146A5" w14:textId="2FBB038F"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15</w:t>
            </w:r>
            <w:r w:rsidR="000B129D">
              <w:rPr>
                <w:rFonts w:ascii="Garamond" w:hAnsi="Garamond"/>
                <w:iCs/>
                <w:sz w:val="18"/>
                <w:lang w:val="sq-AL"/>
              </w:rPr>
              <w:t>.</w:t>
            </w:r>
            <w:r w:rsidRPr="00543A29">
              <w:rPr>
                <w:rFonts w:ascii="Garamond" w:hAnsi="Garamond"/>
                <w:iCs/>
                <w:sz w:val="18"/>
                <w:lang w:val="sq-AL"/>
              </w:rPr>
              <w:t>6</w:t>
            </w:r>
            <w:r w:rsidR="000B129D">
              <w:rPr>
                <w:rFonts w:ascii="Garamond" w:hAnsi="Garamond"/>
                <w:iCs/>
                <w:sz w:val="18"/>
                <w:lang w:val="sq-AL"/>
              </w:rPr>
              <w:t>.</w:t>
            </w:r>
            <w:r w:rsidRPr="00543A29">
              <w:rPr>
                <w:rFonts w:ascii="Garamond" w:hAnsi="Garamond"/>
                <w:iCs/>
                <w:sz w:val="18"/>
                <w:lang w:val="sq-AL"/>
              </w:rPr>
              <w:t>2009</w:t>
            </w:r>
          </w:p>
        </w:tc>
        <w:tc>
          <w:tcPr>
            <w:tcW w:w="1313" w:type="dxa"/>
          </w:tcPr>
          <w:p w14:paraId="11E7A281" w14:textId="235E2A1B"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24/01/2011</w:t>
            </w:r>
          </w:p>
        </w:tc>
        <w:tc>
          <w:tcPr>
            <w:tcW w:w="2099" w:type="dxa"/>
          </w:tcPr>
          <w:p w14:paraId="15DBCA49" w14:textId="133D528C"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5</w:t>
            </w:r>
            <w:r w:rsidR="00543A29">
              <w:rPr>
                <w:rFonts w:ascii="Garamond" w:hAnsi="Garamond"/>
                <w:iCs/>
                <w:sz w:val="18"/>
                <w:lang w:val="sq-AL"/>
              </w:rPr>
              <w:t>.</w:t>
            </w:r>
            <w:r w:rsidRPr="00543A29">
              <w:rPr>
                <w:rFonts w:ascii="Garamond" w:hAnsi="Garamond"/>
                <w:iCs/>
                <w:sz w:val="18"/>
                <w:lang w:val="sq-AL"/>
              </w:rPr>
              <w:t>4</w:t>
            </w:r>
            <w:r w:rsidR="00543A29">
              <w:rPr>
                <w:rFonts w:ascii="Garamond" w:hAnsi="Garamond"/>
                <w:iCs/>
                <w:sz w:val="18"/>
                <w:lang w:val="sq-AL"/>
              </w:rPr>
              <w:t>.</w:t>
            </w:r>
            <w:r w:rsidRPr="00543A29">
              <w:rPr>
                <w:rFonts w:ascii="Garamond" w:hAnsi="Garamond"/>
                <w:iCs/>
                <w:sz w:val="18"/>
                <w:lang w:val="sq-AL"/>
              </w:rPr>
              <w:t>2020</w:t>
            </w:r>
          </w:p>
          <w:p w14:paraId="159C386C" w14:textId="7714971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(n</w:t>
            </w:r>
            <w:r w:rsidR="00153AA4" w:rsidRPr="00543A29">
              <w:rPr>
                <w:rFonts w:ascii="Garamond" w:hAnsi="Garamond"/>
                <w:iCs/>
                <w:sz w:val="18"/>
                <w:lang w:val="sq-AL"/>
              </w:rPr>
              <w:t>ë</w:t>
            </w:r>
            <w:r w:rsidRPr="00543A29">
              <w:rPr>
                <w:rFonts w:ascii="Garamond" w:hAnsi="Garamond"/>
                <w:iCs/>
                <w:sz w:val="18"/>
                <w:lang w:val="sq-AL"/>
              </w:rPr>
              <w:t xml:space="preserve"> at</w:t>
            </w:r>
            <w:r w:rsidR="00153AA4" w:rsidRPr="00543A29">
              <w:rPr>
                <w:rFonts w:ascii="Garamond" w:hAnsi="Garamond"/>
                <w:iCs/>
                <w:sz w:val="18"/>
                <w:lang w:val="sq-AL"/>
              </w:rPr>
              <w:t>ë</w:t>
            </w:r>
            <w:r w:rsidRPr="00543A29">
              <w:rPr>
                <w:rFonts w:ascii="Garamond" w:hAnsi="Garamond"/>
                <w:iCs/>
                <w:sz w:val="18"/>
                <w:lang w:val="sq-AL"/>
              </w:rPr>
              <w:t xml:space="preserve"> dat</w:t>
            </w:r>
            <w:r w:rsidR="00153AA4" w:rsidRPr="00543A29">
              <w:rPr>
                <w:rFonts w:ascii="Garamond" w:hAnsi="Garamond"/>
                <w:iCs/>
                <w:sz w:val="18"/>
                <w:lang w:val="sq-AL"/>
              </w:rPr>
              <w:t>ë</w:t>
            </w:r>
            <w:r w:rsidRPr="00543A29">
              <w:rPr>
                <w:rFonts w:ascii="Garamond" w:hAnsi="Garamond"/>
                <w:iCs/>
                <w:sz w:val="18"/>
                <w:lang w:val="sq-AL"/>
              </w:rPr>
              <w:t xml:space="preserve"> k</w:t>
            </w:r>
            <w:r w:rsidR="00153AA4" w:rsidRPr="00543A29">
              <w:rPr>
                <w:rFonts w:ascii="Garamond" w:hAnsi="Garamond"/>
                <w:iCs/>
                <w:sz w:val="18"/>
                <w:lang w:val="sq-AL"/>
              </w:rPr>
              <w:t>ë</w:t>
            </w:r>
            <w:r w:rsidRPr="00543A29">
              <w:rPr>
                <w:rFonts w:ascii="Garamond" w:hAnsi="Garamond"/>
                <w:iCs/>
                <w:sz w:val="18"/>
                <w:lang w:val="sq-AL"/>
              </w:rPr>
              <w:t>rkuesi arriti mosh</w:t>
            </w:r>
            <w:r w:rsidR="00153AA4" w:rsidRPr="00543A29">
              <w:rPr>
                <w:rFonts w:ascii="Garamond" w:hAnsi="Garamond"/>
                <w:iCs/>
                <w:sz w:val="18"/>
                <w:lang w:val="sq-AL"/>
              </w:rPr>
              <w:t>ë</w:t>
            </w:r>
            <w:r w:rsidRPr="00543A29">
              <w:rPr>
                <w:rFonts w:ascii="Garamond" w:hAnsi="Garamond"/>
                <w:iCs/>
                <w:sz w:val="18"/>
                <w:lang w:val="sq-AL"/>
              </w:rPr>
              <w:t>n e daljes n</w:t>
            </w:r>
            <w:r w:rsidR="00153AA4" w:rsidRPr="00543A29">
              <w:rPr>
                <w:rFonts w:ascii="Garamond" w:hAnsi="Garamond"/>
                <w:iCs/>
                <w:sz w:val="18"/>
                <w:lang w:val="sq-AL"/>
              </w:rPr>
              <w:t>ë</w:t>
            </w:r>
            <w:r w:rsidRPr="00543A29">
              <w:rPr>
                <w:rFonts w:ascii="Garamond" w:hAnsi="Garamond"/>
                <w:iCs/>
                <w:sz w:val="18"/>
                <w:lang w:val="sq-AL"/>
              </w:rPr>
              <w:t xml:space="preserve"> pension)</w:t>
            </w:r>
          </w:p>
          <w:p w14:paraId="53298A2D" w14:textId="77777777" w:rsidR="006474C8" w:rsidRPr="00543A29" w:rsidRDefault="006474C8" w:rsidP="00AC1AFD">
            <w:pPr>
              <w:pStyle w:val="ECHRDecisionBody"/>
              <w:jc w:val="center"/>
              <w:rPr>
                <w:rFonts w:ascii="Garamond" w:hAnsi="Garamond"/>
                <w:iCs/>
                <w:sz w:val="18"/>
                <w:lang w:val="sq-AL"/>
              </w:rPr>
            </w:pPr>
          </w:p>
          <w:p w14:paraId="4F08F4AB" w14:textId="3D960E25"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9 vite dhe 2 muaj dhe 13 dit</w:t>
            </w:r>
            <w:r w:rsidR="00153AA4" w:rsidRPr="00543A29">
              <w:rPr>
                <w:rFonts w:ascii="Garamond" w:hAnsi="Garamond"/>
                <w:iCs/>
                <w:sz w:val="18"/>
                <w:lang w:val="sq-AL"/>
              </w:rPr>
              <w:t>ë</w:t>
            </w:r>
          </w:p>
        </w:tc>
        <w:tc>
          <w:tcPr>
            <w:tcW w:w="1392" w:type="dxa"/>
          </w:tcPr>
          <w:p w14:paraId="262F36C9" w14:textId="62A5BFB5"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t>Gjykata e Rrethit Tiran</w:t>
            </w:r>
            <w:r w:rsidR="00153AA4" w:rsidRPr="00543A29">
              <w:rPr>
                <w:rFonts w:ascii="Garamond" w:hAnsi="Garamond"/>
                <w:iCs/>
                <w:sz w:val="18"/>
                <w:lang w:val="sq-AL"/>
              </w:rPr>
              <w:t>ë</w:t>
            </w:r>
            <w:r w:rsidRPr="00543A29">
              <w:rPr>
                <w:rFonts w:ascii="Garamond" w:hAnsi="Garamond"/>
                <w:iCs/>
                <w:sz w:val="18"/>
                <w:lang w:val="sq-AL"/>
              </w:rPr>
              <w:t>, vendimi i dat</w:t>
            </w:r>
            <w:r w:rsidR="00153AA4" w:rsidRPr="00543A29">
              <w:rPr>
                <w:rFonts w:ascii="Garamond" w:hAnsi="Garamond"/>
                <w:iCs/>
                <w:sz w:val="18"/>
                <w:lang w:val="sq-AL"/>
              </w:rPr>
              <w:t>ë</w:t>
            </w:r>
            <w:r w:rsidRPr="00543A29">
              <w:rPr>
                <w:rFonts w:ascii="Garamond" w:hAnsi="Garamond"/>
                <w:iCs/>
                <w:sz w:val="18"/>
                <w:lang w:val="sq-AL"/>
              </w:rPr>
              <w:t>s 15</w:t>
            </w:r>
            <w:r w:rsidR="00543A29">
              <w:rPr>
                <w:rFonts w:ascii="Garamond" w:hAnsi="Garamond"/>
                <w:iCs/>
                <w:sz w:val="18"/>
                <w:lang w:val="sq-AL"/>
              </w:rPr>
              <w:t>.</w:t>
            </w:r>
            <w:r w:rsidRPr="00543A29">
              <w:rPr>
                <w:rFonts w:ascii="Garamond" w:hAnsi="Garamond"/>
                <w:iCs/>
                <w:sz w:val="18"/>
                <w:lang w:val="sq-AL"/>
              </w:rPr>
              <w:t>6</w:t>
            </w:r>
            <w:r w:rsidR="00543A29">
              <w:rPr>
                <w:rFonts w:ascii="Garamond" w:hAnsi="Garamond"/>
                <w:iCs/>
                <w:sz w:val="18"/>
                <w:lang w:val="sq-AL"/>
              </w:rPr>
              <w:t>.</w:t>
            </w:r>
            <w:r w:rsidRPr="00543A29">
              <w:rPr>
                <w:rFonts w:ascii="Garamond" w:hAnsi="Garamond"/>
                <w:iCs/>
                <w:sz w:val="18"/>
                <w:lang w:val="sq-AL"/>
              </w:rPr>
              <w:t>2009 l</w:t>
            </w:r>
            <w:r w:rsidR="00153AA4" w:rsidRPr="00543A29">
              <w:rPr>
                <w:rFonts w:ascii="Garamond" w:hAnsi="Garamond"/>
                <w:iCs/>
                <w:sz w:val="18"/>
                <w:lang w:val="sq-AL"/>
              </w:rPr>
              <w:t>ë</w:t>
            </w:r>
            <w:r w:rsidRPr="00543A29">
              <w:rPr>
                <w:rFonts w:ascii="Garamond" w:hAnsi="Garamond"/>
                <w:iCs/>
                <w:sz w:val="18"/>
                <w:lang w:val="sq-AL"/>
              </w:rPr>
              <w:t>n</w:t>
            </w:r>
            <w:r w:rsidR="00153AA4" w:rsidRPr="00543A29">
              <w:rPr>
                <w:rFonts w:ascii="Garamond" w:hAnsi="Garamond"/>
                <w:iCs/>
                <w:sz w:val="18"/>
                <w:lang w:val="sq-AL"/>
              </w:rPr>
              <w:t>ë</w:t>
            </w:r>
            <w:r w:rsidRPr="00543A29">
              <w:rPr>
                <w:rFonts w:ascii="Garamond" w:hAnsi="Garamond"/>
                <w:iCs/>
                <w:sz w:val="18"/>
                <w:lang w:val="sq-AL"/>
              </w:rPr>
              <w:t xml:space="preserve"> n</w:t>
            </w:r>
            <w:r w:rsidR="00153AA4" w:rsidRPr="00543A29">
              <w:rPr>
                <w:rFonts w:ascii="Garamond" w:hAnsi="Garamond"/>
                <w:iCs/>
                <w:sz w:val="18"/>
                <w:lang w:val="sq-AL"/>
              </w:rPr>
              <w:t>ë</w:t>
            </w:r>
            <w:r w:rsidRPr="00543A29">
              <w:rPr>
                <w:rFonts w:ascii="Garamond" w:hAnsi="Garamond"/>
                <w:iCs/>
                <w:sz w:val="18"/>
                <w:lang w:val="sq-AL"/>
              </w:rPr>
              <w:t xml:space="preserve"> fuqi nga Gjykata e Apelit Tiran</w:t>
            </w:r>
            <w:r w:rsidR="00153AA4" w:rsidRPr="00543A29">
              <w:rPr>
                <w:rFonts w:ascii="Garamond" w:hAnsi="Garamond"/>
                <w:iCs/>
                <w:sz w:val="18"/>
                <w:lang w:val="sq-AL"/>
              </w:rPr>
              <w:t>ë</w:t>
            </w:r>
            <w:r w:rsidRPr="00543A29">
              <w:rPr>
                <w:rFonts w:ascii="Garamond" w:hAnsi="Garamond"/>
                <w:iCs/>
                <w:sz w:val="18"/>
                <w:lang w:val="sq-AL"/>
              </w:rPr>
              <w:t xml:space="preserve"> m</w:t>
            </w:r>
            <w:r w:rsidR="00153AA4" w:rsidRPr="00543A29">
              <w:rPr>
                <w:rFonts w:ascii="Garamond" w:hAnsi="Garamond"/>
                <w:iCs/>
                <w:sz w:val="18"/>
                <w:lang w:val="sq-AL"/>
              </w:rPr>
              <w:t>ë</w:t>
            </w:r>
            <w:r w:rsidRPr="00543A29">
              <w:rPr>
                <w:rFonts w:ascii="Garamond" w:hAnsi="Garamond"/>
                <w:iCs/>
                <w:sz w:val="18"/>
                <w:lang w:val="sq-AL"/>
              </w:rPr>
              <w:t xml:space="preserve"> 1</w:t>
            </w:r>
            <w:r w:rsidR="00543A29">
              <w:rPr>
                <w:rFonts w:ascii="Garamond" w:hAnsi="Garamond"/>
                <w:iCs/>
                <w:sz w:val="18"/>
                <w:lang w:val="sq-AL"/>
              </w:rPr>
              <w:t>.</w:t>
            </w:r>
            <w:r w:rsidRPr="00543A29">
              <w:rPr>
                <w:rFonts w:ascii="Garamond" w:hAnsi="Garamond"/>
                <w:iCs/>
                <w:sz w:val="18"/>
                <w:lang w:val="sq-AL"/>
              </w:rPr>
              <w:t>12</w:t>
            </w:r>
            <w:r w:rsidR="00543A29">
              <w:rPr>
                <w:rFonts w:ascii="Garamond" w:hAnsi="Garamond"/>
                <w:iCs/>
                <w:sz w:val="18"/>
                <w:lang w:val="sq-AL"/>
              </w:rPr>
              <w:t>.</w:t>
            </w:r>
            <w:r w:rsidRPr="00543A29">
              <w:rPr>
                <w:rFonts w:ascii="Garamond" w:hAnsi="Garamond"/>
                <w:iCs/>
                <w:sz w:val="18"/>
                <w:lang w:val="sq-AL"/>
              </w:rPr>
              <w:t>2010, sipas s</w:t>
            </w:r>
            <w:r w:rsidR="00153AA4" w:rsidRPr="00543A29">
              <w:rPr>
                <w:rFonts w:ascii="Garamond" w:hAnsi="Garamond"/>
                <w:iCs/>
                <w:sz w:val="18"/>
                <w:lang w:val="sq-AL"/>
              </w:rPr>
              <w:t>ë</w:t>
            </w:r>
            <w:r w:rsidRPr="00543A29">
              <w:rPr>
                <w:rFonts w:ascii="Garamond" w:hAnsi="Garamond"/>
                <w:iCs/>
                <w:sz w:val="18"/>
                <w:lang w:val="sq-AL"/>
              </w:rPr>
              <w:t xml:space="preserve"> cilit urdh</w:t>
            </w:r>
            <w:r w:rsidR="00153AA4" w:rsidRPr="00543A29">
              <w:rPr>
                <w:rFonts w:ascii="Garamond" w:hAnsi="Garamond"/>
                <w:iCs/>
                <w:sz w:val="18"/>
                <w:lang w:val="sq-AL"/>
              </w:rPr>
              <w:t>ë</w:t>
            </w:r>
            <w:r w:rsidRPr="00543A29">
              <w:rPr>
                <w:rFonts w:ascii="Garamond" w:hAnsi="Garamond"/>
                <w:iCs/>
                <w:sz w:val="18"/>
                <w:lang w:val="sq-AL"/>
              </w:rPr>
              <w:t>rohej rikthimi n</w:t>
            </w:r>
            <w:r w:rsidR="00153AA4" w:rsidRPr="00543A29">
              <w:rPr>
                <w:rFonts w:ascii="Garamond" w:hAnsi="Garamond"/>
                <w:iCs/>
                <w:sz w:val="18"/>
                <w:lang w:val="sq-AL"/>
              </w:rPr>
              <w:t>ë</w:t>
            </w:r>
            <w:r w:rsidRPr="00543A29">
              <w:rPr>
                <w:rFonts w:ascii="Garamond" w:hAnsi="Garamond"/>
                <w:iCs/>
                <w:sz w:val="18"/>
                <w:lang w:val="sq-AL"/>
              </w:rPr>
              <w:t xml:space="preserve"> detyr</w:t>
            </w:r>
            <w:r w:rsidR="00153AA4" w:rsidRPr="00543A29">
              <w:rPr>
                <w:rFonts w:ascii="Garamond" w:hAnsi="Garamond"/>
                <w:iCs/>
                <w:sz w:val="18"/>
                <w:lang w:val="sq-AL"/>
              </w:rPr>
              <w:t>ë</w:t>
            </w:r>
            <w:r w:rsidRPr="00543A29">
              <w:rPr>
                <w:rFonts w:ascii="Garamond" w:hAnsi="Garamond"/>
                <w:iCs/>
                <w:sz w:val="18"/>
                <w:lang w:val="sq-AL"/>
              </w:rPr>
              <w:t xml:space="preserve">n e </w:t>
            </w:r>
            <w:r w:rsidRPr="00543A29">
              <w:rPr>
                <w:rFonts w:ascii="Garamond" w:hAnsi="Garamond"/>
                <w:iCs/>
                <w:sz w:val="18"/>
                <w:lang w:val="sq-AL"/>
              </w:rPr>
              <w:lastRenderedPageBreak/>
              <w:t>m</w:t>
            </w:r>
            <w:r w:rsidR="00153AA4" w:rsidRPr="00543A29">
              <w:rPr>
                <w:rFonts w:ascii="Garamond" w:hAnsi="Garamond"/>
                <w:iCs/>
                <w:sz w:val="18"/>
                <w:lang w:val="sq-AL"/>
              </w:rPr>
              <w:t>ë</w:t>
            </w:r>
            <w:r w:rsidRPr="00543A29">
              <w:rPr>
                <w:rFonts w:ascii="Garamond" w:hAnsi="Garamond"/>
                <w:iCs/>
                <w:sz w:val="18"/>
                <w:lang w:val="sq-AL"/>
              </w:rPr>
              <w:t>parshme i k</w:t>
            </w:r>
            <w:r w:rsidR="00153AA4" w:rsidRPr="00543A29">
              <w:rPr>
                <w:rFonts w:ascii="Garamond" w:hAnsi="Garamond"/>
                <w:iCs/>
                <w:sz w:val="18"/>
                <w:lang w:val="sq-AL"/>
              </w:rPr>
              <w:t>ë</w:t>
            </w:r>
            <w:r w:rsidRPr="00543A29">
              <w:rPr>
                <w:rFonts w:ascii="Garamond" w:hAnsi="Garamond"/>
                <w:iCs/>
                <w:sz w:val="18"/>
                <w:lang w:val="sq-AL"/>
              </w:rPr>
              <w:t>rkuesit, ose n</w:t>
            </w:r>
            <w:r w:rsidR="00153AA4" w:rsidRPr="00543A29">
              <w:rPr>
                <w:rFonts w:ascii="Garamond" w:hAnsi="Garamond"/>
                <w:iCs/>
                <w:sz w:val="18"/>
                <w:lang w:val="sq-AL"/>
              </w:rPr>
              <w:t>ë</w:t>
            </w:r>
            <w:r w:rsidRPr="00543A29">
              <w:rPr>
                <w:rFonts w:ascii="Garamond" w:hAnsi="Garamond"/>
                <w:iCs/>
                <w:sz w:val="18"/>
                <w:lang w:val="sq-AL"/>
              </w:rPr>
              <w:t xml:space="preserve"> nj</w:t>
            </w:r>
            <w:r w:rsidR="00153AA4" w:rsidRPr="00543A29">
              <w:rPr>
                <w:rFonts w:ascii="Garamond" w:hAnsi="Garamond"/>
                <w:iCs/>
                <w:sz w:val="18"/>
                <w:lang w:val="sq-AL"/>
              </w:rPr>
              <w:t>ë</w:t>
            </w:r>
            <w:r w:rsidRPr="00543A29">
              <w:rPr>
                <w:rFonts w:ascii="Garamond" w:hAnsi="Garamond"/>
                <w:iCs/>
                <w:sz w:val="18"/>
                <w:lang w:val="sq-AL"/>
              </w:rPr>
              <w:t xml:space="preserve"> pozicion t</w:t>
            </w:r>
            <w:r w:rsidR="00153AA4" w:rsidRPr="00543A29">
              <w:rPr>
                <w:rFonts w:ascii="Garamond" w:hAnsi="Garamond"/>
                <w:iCs/>
                <w:sz w:val="18"/>
                <w:lang w:val="sq-AL"/>
              </w:rPr>
              <w:t>ë</w:t>
            </w:r>
            <w:r w:rsidRPr="00543A29">
              <w:rPr>
                <w:rFonts w:ascii="Garamond" w:hAnsi="Garamond"/>
                <w:iCs/>
                <w:sz w:val="18"/>
                <w:lang w:val="sq-AL"/>
              </w:rPr>
              <w:t xml:space="preserve"> ngjash</w:t>
            </w:r>
            <w:r w:rsidR="00153AA4" w:rsidRPr="00543A29">
              <w:rPr>
                <w:rFonts w:ascii="Garamond" w:hAnsi="Garamond"/>
                <w:iCs/>
                <w:sz w:val="18"/>
                <w:lang w:val="sq-AL"/>
              </w:rPr>
              <w:t>ë</w:t>
            </w:r>
            <w:r w:rsidRPr="00543A29">
              <w:rPr>
                <w:rFonts w:ascii="Garamond" w:hAnsi="Garamond"/>
                <w:iCs/>
                <w:sz w:val="18"/>
                <w:lang w:val="sq-AL"/>
              </w:rPr>
              <w:t>m dhe shlyerja e pagave t</w:t>
            </w:r>
            <w:r w:rsidR="00153AA4" w:rsidRPr="00543A29">
              <w:rPr>
                <w:rFonts w:ascii="Garamond" w:hAnsi="Garamond"/>
                <w:iCs/>
                <w:sz w:val="18"/>
                <w:lang w:val="sq-AL"/>
              </w:rPr>
              <w:t>ë</w:t>
            </w:r>
            <w:r w:rsidRPr="00543A29">
              <w:rPr>
                <w:rFonts w:ascii="Garamond" w:hAnsi="Garamond"/>
                <w:iCs/>
                <w:sz w:val="18"/>
                <w:lang w:val="sq-AL"/>
              </w:rPr>
              <w:t xml:space="preserve"> prapambetura deri n</w:t>
            </w:r>
            <w:r w:rsidR="00153AA4" w:rsidRPr="00543A29">
              <w:rPr>
                <w:rFonts w:ascii="Garamond" w:hAnsi="Garamond"/>
                <w:iCs/>
                <w:sz w:val="18"/>
                <w:lang w:val="sq-AL"/>
              </w:rPr>
              <w:t>ë</w:t>
            </w:r>
            <w:r w:rsidRPr="00543A29">
              <w:rPr>
                <w:rFonts w:ascii="Garamond" w:hAnsi="Garamond"/>
                <w:iCs/>
                <w:sz w:val="18"/>
                <w:lang w:val="sq-AL"/>
              </w:rPr>
              <w:t xml:space="preserve"> rikthimin e tij n</w:t>
            </w:r>
            <w:r w:rsidR="00153AA4" w:rsidRPr="00543A29">
              <w:rPr>
                <w:rFonts w:ascii="Garamond" w:hAnsi="Garamond"/>
                <w:iCs/>
                <w:sz w:val="18"/>
                <w:lang w:val="sq-AL"/>
              </w:rPr>
              <w:t>ë</w:t>
            </w:r>
            <w:r w:rsidRPr="00543A29">
              <w:rPr>
                <w:rFonts w:ascii="Garamond" w:hAnsi="Garamond"/>
                <w:iCs/>
                <w:sz w:val="18"/>
                <w:lang w:val="sq-AL"/>
              </w:rPr>
              <w:t xml:space="preserve"> detyr</w:t>
            </w:r>
            <w:r w:rsidR="00153AA4" w:rsidRPr="00543A29">
              <w:rPr>
                <w:rFonts w:ascii="Garamond" w:hAnsi="Garamond"/>
                <w:iCs/>
                <w:sz w:val="18"/>
                <w:lang w:val="sq-AL"/>
              </w:rPr>
              <w:t>ë</w:t>
            </w:r>
            <w:r w:rsidRPr="00543A29">
              <w:rPr>
                <w:rFonts w:ascii="Garamond" w:hAnsi="Garamond"/>
                <w:iCs/>
                <w:sz w:val="18"/>
                <w:lang w:val="sq-AL"/>
              </w:rPr>
              <w:t xml:space="preserve">  </w:t>
            </w:r>
          </w:p>
        </w:tc>
        <w:tc>
          <w:tcPr>
            <w:tcW w:w="1348" w:type="dxa"/>
          </w:tcPr>
          <w:p w14:paraId="57D7E4DA" w14:textId="1E85FA36"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lastRenderedPageBreak/>
              <w:t>Urdhri p</w:t>
            </w:r>
            <w:r w:rsidR="00153AA4" w:rsidRPr="00543A29">
              <w:rPr>
                <w:rFonts w:ascii="Garamond" w:hAnsi="Garamond"/>
                <w:iCs/>
                <w:sz w:val="18"/>
                <w:lang w:val="sq-AL"/>
              </w:rPr>
              <w:t>ë</w:t>
            </w:r>
            <w:r w:rsidRPr="00543A29">
              <w:rPr>
                <w:rFonts w:ascii="Garamond" w:hAnsi="Garamond"/>
                <w:iCs/>
                <w:sz w:val="18"/>
                <w:lang w:val="sq-AL"/>
              </w:rPr>
              <w:t>r ekzekutimin e vendimit i dat</w:t>
            </w:r>
            <w:r w:rsidR="00153AA4" w:rsidRPr="00543A29">
              <w:rPr>
                <w:rFonts w:ascii="Garamond" w:hAnsi="Garamond"/>
                <w:iCs/>
                <w:sz w:val="18"/>
                <w:lang w:val="sq-AL"/>
              </w:rPr>
              <w:t>ë</w:t>
            </w:r>
            <w:r w:rsidRPr="00543A29">
              <w:rPr>
                <w:rFonts w:ascii="Garamond" w:hAnsi="Garamond"/>
                <w:iCs/>
                <w:sz w:val="18"/>
                <w:lang w:val="sq-AL"/>
              </w:rPr>
              <w:t>s 24</w:t>
            </w:r>
            <w:r w:rsidR="00445981">
              <w:rPr>
                <w:rFonts w:ascii="Garamond" w:hAnsi="Garamond"/>
                <w:iCs/>
                <w:sz w:val="18"/>
                <w:lang w:val="sq-AL"/>
              </w:rPr>
              <w:t>.</w:t>
            </w:r>
            <w:r w:rsidRPr="00543A29">
              <w:rPr>
                <w:rFonts w:ascii="Garamond" w:hAnsi="Garamond"/>
                <w:iCs/>
                <w:sz w:val="18"/>
                <w:lang w:val="sq-AL"/>
              </w:rPr>
              <w:t>1</w:t>
            </w:r>
            <w:r w:rsidR="00445981">
              <w:rPr>
                <w:rFonts w:ascii="Garamond" w:hAnsi="Garamond"/>
                <w:iCs/>
                <w:sz w:val="18"/>
                <w:lang w:val="sq-AL"/>
              </w:rPr>
              <w:t>.</w:t>
            </w:r>
            <w:r w:rsidRPr="00543A29">
              <w:rPr>
                <w:rFonts w:ascii="Garamond" w:hAnsi="Garamond"/>
                <w:iCs/>
                <w:sz w:val="18"/>
                <w:lang w:val="sq-AL"/>
              </w:rPr>
              <w:t>2011 i Gjykat</w:t>
            </w:r>
            <w:r w:rsidR="00153AA4" w:rsidRPr="00543A29">
              <w:rPr>
                <w:rFonts w:ascii="Garamond" w:hAnsi="Garamond"/>
                <w:iCs/>
                <w:sz w:val="18"/>
                <w:lang w:val="sq-AL"/>
              </w:rPr>
              <w:t>ë</w:t>
            </w:r>
            <w:r w:rsidRPr="00543A29">
              <w:rPr>
                <w:rFonts w:ascii="Garamond" w:hAnsi="Garamond"/>
                <w:iCs/>
                <w:sz w:val="18"/>
                <w:lang w:val="sq-AL"/>
              </w:rPr>
              <w:t>s s</w:t>
            </w:r>
            <w:r w:rsidR="00153AA4" w:rsidRPr="00543A29">
              <w:rPr>
                <w:rFonts w:ascii="Garamond" w:hAnsi="Garamond"/>
                <w:iCs/>
                <w:sz w:val="18"/>
                <w:lang w:val="sq-AL"/>
              </w:rPr>
              <w:t>ë</w:t>
            </w:r>
            <w:r w:rsidRPr="00543A29">
              <w:rPr>
                <w:rFonts w:ascii="Garamond" w:hAnsi="Garamond"/>
                <w:iCs/>
                <w:sz w:val="18"/>
                <w:lang w:val="sq-AL"/>
              </w:rPr>
              <w:t xml:space="preserve"> Rrethit Tiran</w:t>
            </w:r>
            <w:r w:rsidR="00153AA4" w:rsidRPr="00543A29">
              <w:rPr>
                <w:rFonts w:ascii="Garamond" w:hAnsi="Garamond"/>
                <w:iCs/>
                <w:sz w:val="18"/>
                <w:lang w:val="sq-AL"/>
              </w:rPr>
              <w:t>ë</w:t>
            </w:r>
          </w:p>
        </w:tc>
        <w:tc>
          <w:tcPr>
            <w:tcW w:w="1079" w:type="dxa"/>
          </w:tcPr>
          <w:p w14:paraId="40112211" w14:textId="3326A555" w:rsidR="006474C8" w:rsidRPr="00543A29" w:rsidRDefault="009049A5" w:rsidP="00AC1AFD">
            <w:pPr>
              <w:pStyle w:val="ECHRDecisionBody"/>
              <w:jc w:val="center"/>
              <w:rPr>
                <w:rFonts w:ascii="Garamond" w:hAnsi="Garamond"/>
                <w:iCs/>
                <w:sz w:val="18"/>
                <w:lang w:val="sq-AL"/>
              </w:rPr>
            </w:pPr>
            <w:r w:rsidRPr="00543A29">
              <w:rPr>
                <w:rFonts w:ascii="Garamond" w:hAnsi="Garamond"/>
                <w:iCs/>
                <w:sz w:val="18"/>
                <w:lang w:val="sq-AL"/>
              </w:rPr>
              <w:t>3,600</w:t>
            </w:r>
          </w:p>
        </w:tc>
        <w:tc>
          <w:tcPr>
            <w:tcW w:w="1412" w:type="dxa"/>
          </w:tcPr>
          <w:p w14:paraId="7C558818" w14:textId="34A68145" w:rsidR="006474C8" w:rsidRPr="00543A29" w:rsidRDefault="006474C8" w:rsidP="00AC1AFD">
            <w:pPr>
              <w:pStyle w:val="ECHRDecisionBody"/>
              <w:jc w:val="center"/>
              <w:rPr>
                <w:rFonts w:ascii="Garamond" w:hAnsi="Garamond"/>
                <w:iCs/>
                <w:sz w:val="18"/>
                <w:lang w:val="sq-AL"/>
              </w:rPr>
            </w:pPr>
          </w:p>
        </w:tc>
      </w:tr>
      <w:tr w:rsidR="00317F5E" w:rsidRPr="00543A29" w14:paraId="3012B410" w14:textId="77777777" w:rsidTr="00317F5E">
        <w:trPr>
          <w:jc w:val="center"/>
        </w:trPr>
        <w:tc>
          <w:tcPr>
            <w:tcW w:w="524" w:type="dxa"/>
            <w:tcBorders>
              <w:top w:val="single" w:sz="4" w:space="0" w:color="auto"/>
              <w:left w:val="single" w:sz="4" w:space="0" w:color="auto"/>
              <w:bottom w:val="single" w:sz="4" w:space="0" w:color="auto"/>
            </w:tcBorders>
            <w:shd w:val="clear" w:color="auto" w:fill="auto"/>
          </w:tcPr>
          <w:p w14:paraId="235CEF39" w14:textId="5CCE9975"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lastRenderedPageBreak/>
              <w:t>3</w:t>
            </w:r>
          </w:p>
        </w:tc>
        <w:tc>
          <w:tcPr>
            <w:tcW w:w="1362" w:type="dxa"/>
          </w:tcPr>
          <w:p w14:paraId="6645573C" w14:textId="77777777"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6932/15</w:t>
            </w:r>
          </w:p>
          <w:p w14:paraId="4FEA8A60" w14:textId="16575885"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30</w:t>
            </w:r>
            <w:r w:rsidR="00543A29">
              <w:rPr>
                <w:rFonts w:ascii="Garamond" w:hAnsi="Garamond"/>
                <w:iCs/>
                <w:sz w:val="18"/>
                <w:lang w:val="sq-AL"/>
              </w:rPr>
              <w:t>.</w:t>
            </w:r>
            <w:r w:rsidRPr="00543A29">
              <w:rPr>
                <w:rFonts w:ascii="Garamond" w:hAnsi="Garamond"/>
                <w:iCs/>
                <w:sz w:val="18"/>
                <w:lang w:val="sq-AL"/>
              </w:rPr>
              <w:t>1</w:t>
            </w:r>
            <w:r w:rsidR="00543A29">
              <w:rPr>
                <w:rFonts w:ascii="Garamond" w:hAnsi="Garamond"/>
                <w:iCs/>
                <w:sz w:val="18"/>
                <w:lang w:val="sq-AL"/>
              </w:rPr>
              <w:t>.</w:t>
            </w:r>
            <w:r w:rsidRPr="00543A29">
              <w:rPr>
                <w:rFonts w:ascii="Garamond" w:hAnsi="Garamond"/>
                <w:iCs/>
                <w:sz w:val="18"/>
                <w:lang w:val="sq-AL"/>
              </w:rPr>
              <w:t>2015</w:t>
            </w:r>
          </w:p>
        </w:tc>
        <w:tc>
          <w:tcPr>
            <w:tcW w:w="1441" w:type="dxa"/>
          </w:tcPr>
          <w:p w14:paraId="73CB6C33" w14:textId="49EAAE8F" w:rsidR="006474C8" w:rsidRPr="00543A29" w:rsidRDefault="006474C8" w:rsidP="00AC1AFD">
            <w:pPr>
              <w:pStyle w:val="ECHRDecisionBody"/>
              <w:jc w:val="center"/>
              <w:rPr>
                <w:rFonts w:ascii="Garamond" w:hAnsi="Garamond"/>
                <w:b/>
                <w:bCs/>
                <w:iCs/>
                <w:sz w:val="18"/>
                <w:lang w:val="sq-AL"/>
              </w:rPr>
            </w:pPr>
            <w:proofErr w:type="spellStart"/>
            <w:r w:rsidRPr="00543A29">
              <w:rPr>
                <w:rFonts w:ascii="Garamond" w:hAnsi="Garamond"/>
                <w:b/>
                <w:bCs/>
                <w:iCs/>
                <w:sz w:val="18"/>
                <w:lang w:val="sq-AL"/>
              </w:rPr>
              <w:t>Tatjana</w:t>
            </w:r>
            <w:proofErr w:type="spellEnd"/>
            <w:r w:rsidRPr="00543A29">
              <w:rPr>
                <w:rFonts w:ascii="Garamond" w:hAnsi="Garamond"/>
                <w:b/>
                <w:bCs/>
                <w:iCs/>
                <w:sz w:val="18"/>
                <w:lang w:val="sq-AL"/>
              </w:rPr>
              <w:t xml:space="preserve"> MILO</w:t>
            </w:r>
          </w:p>
          <w:p w14:paraId="5E02CCDF" w14:textId="76AF7A21"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1957</w:t>
            </w:r>
          </w:p>
        </w:tc>
        <w:tc>
          <w:tcPr>
            <w:tcW w:w="1227" w:type="dxa"/>
          </w:tcPr>
          <w:p w14:paraId="15BE5E6F" w14:textId="77777777" w:rsidR="006474C8" w:rsidRPr="00543A29" w:rsidRDefault="006474C8" w:rsidP="00AC1AFD">
            <w:pPr>
              <w:pStyle w:val="ECHRDecisionBody"/>
              <w:jc w:val="center"/>
              <w:rPr>
                <w:rFonts w:ascii="Garamond" w:hAnsi="Garamond"/>
                <w:iCs/>
                <w:sz w:val="18"/>
                <w:lang w:val="sq-AL"/>
              </w:rPr>
            </w:pPr>
            <w:proofErr w:type="spellStart"/>
            <w:r w:rsidRPr="00543A29">
              <w:rPr>
                <w:rFonts w:ascii="Garamond" w:hAnsi="Garamond"/>
                <w:iCs/>
                <w:sz w:val="18"/>
                <w:lang w:val="sq-AL"/>
              </w:rPr>
              <w:t>Saccucci</w:t>
            </w:r>
            <w:proofErr w:type="spellEnd"/>
            <w:r w:rsidRPr="00543A29">
              <w:rPr>
                <w:rFonts w:ascii="Garamond" w:hAnsi="Garamond"/>
                <w:iCs/>
                <w:sz w:val="18"/>
                <w:lang w:val="sq-AL"/>
              </w:rPr>
              <w:t xml:space="preserve"> </w:t>
            </w:r>
            <w:proofErr w:type="spellStart"/>
            <w:r w:rsidRPr="00543A29">
              <w:rPr>
                <w:rFonts w:ascii="Garamond" w:hAnsi="Garamond"/>
                <w:iCs/>
                <w:sz w:val="18"/>
                <w:lang w:val="sq-AL"/>
              </w:rPr>
              <w:t>Andrea</w:t>
            </w:r>
            <w:proofErr w:type="spellEnd"/>
            <w:r w:rsidRPr="00543A29">
              <w:rPr>
                <w:rFonts w:ascii="Garamond" w:hAnsi="Garamond"/>
                <w:iCs/>
                <w:sz w:val="18"/>
                <w:lang w:val="sq-AL"/>
              </w:rPr>
              <w:t xml:space="preserve"> </w:t>
            </w:r>
          </w:p>
          <w:p w14:paraId="33192CA7" w14:textId="4ED6AAB3"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Rom</w:t>
            </w:r>
            <w:r w:rsidR="00153AA4" w:rsidRPr="00543A29">
              <w:rPr>
                <w:rFonts w:ascii="Garamond" w:hAnsi="Garamond"/>
                <w:iCs/>
                <w:sz w:val="18"/>
                <w:lang w:val="sq-AL"/>
              </w:rPr>
              <w:t>ë</w:t>
            </w:r>
          </w:p>
        </w:tc>
        <w:tc>
          <w:tcPr>
            <w:tcW w:w="1641" w:type="dxa"/>
          </w:tcPr>
          <w:p w14:paraId="0E69312F" w14:textId="16D36DCD"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Gjykata e Apelit Tiran</w:t>
            </w:r>
            <w:r w:rsidR="00153AA4" w:rsidRPr="00543A29">
              <w:rPr>
                <w:rFonts w:ascii="Garamond" w:hAnsi="Garamond"/>
                <w:iCs/>
                <w:sz w:val="18"/>
                <w:lang w:val="sq-AL"/>
              </w:rPr>
              <w:t>ë</w:t>
            </w:r>
            <w:r w:rsidRPr="00543A29">
              <w:rPr>
                <w:rFonts w:ascii="Garamond" w:hAnsi="Garamond"/>
                <w:iCs/>
                <w:sz w:val="18"/>
                <w:lang w:val="sq-AL"/>
              </w:rPr>
              <w:t xml:space="preserve">, vendimi nr. 848, </w:t>
            </w:r>
          </w:p>
          <w:p w14:paraId="11A6ED39" w14:textId="4E06ABA2" w:rsidR="006474C8" w:rsidRPr="00543A29" w:rsidRDefault="006474C8" w:rsidP="00AC1AFD">
            <w:pPr>
              <w:pStyle w:val="ECHRDecisionBody"/>
              <w:jc w:val="center"/>
              <w:rPr>
                <w:rFonts w:ascii="Garamond" w:hAnsi="Garamond"/>
                <w:iCs/>
                <w:sz w:val="18"/>
                <w:lang w:val="sq-AL"/>
              </w:rPr>
            </w:pPr>
            <w:r w:rsidRPr="00543A29">
              <w:rPr>
                <w:rFonts w:ascii="Garamond" w:hAnsi="Garamond"/>
                <w:iCs/>
                <w:sz w:val="18"/>
                <w:lang w:val="sq-AL"/>
              </w:rPr>
              <w:t>27</w:t>
            </w:r>
            <w:r w:rsidR="00543A29">
              <w:rPr>
                <w:rFonts w:ascii="Garamond" w:hAnsi="Garamond"/>
                <w:iCs/>
                <w:sz w:val="18"/>
                <w:lang w:val="sq-AL"/>
              </w:rPr>
              <w:t>.</w:t>
            </w:r>
            <w:r w:rsidRPr="00543A29">
              <w:rPr>
                <w:rFonts w:ascii="Garamond" w:hAnsi="Garamond"/>
                <w:iCs/>
                <w:sz w:val="18"/>
                <w:lang w:val="sq-AL"/>
              </w:rPr>
              <w:t>6</w:t>
            </w:r>
            <w:r w:rsidR="00543A29">
              <w:rPr>
                <w:rFonts w:ascii="Garamond" w:hAnsi="Garamond"/>
                <w:iCs/>
                <w:sz w:val="18"/>
                <w:lang w:val="sq-AL"/>
              </w:rPr>
              <w:t>.</w:t>
            </w:r>
            <w:r w:rsidRPr="00543A29">
              <w:rPr>
                <w:rFonts w:ascii="Garamond" w:hAnsi="Garamond"/>
                <w:iCs/>
                <w:sz w:val="18"/>
                <w:lang w:val="sq-AL"/>
              </w:rPr>
              <w:t>2007</w:t>
            </w:r>
          </w:p>
        </w:tc>
        <w:tc>
          <w:tcPr>
            <w:tcW w:w="1313" w:type="dxa"/>
          </w:tcPr>
          <w:p w14:paraId="056E8BEC" w14:textId="6488FC7E" w:rsidR="00137962"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13</w:t>
            </w:r>
            <w:r w:rsidR="00543A29">
              <w:rPr>
                <w:rFonts w:ascii="Garamond" w:hAnsi="Garamond"/>
                <w:iCs/>
                <w:sz w:val="18"/>
                <w:lang w:val="sq-AL"/>
              </w:rPr>
              <w:t>.</w:t>
            </w:r>
            <w:r w:rsidRPr="00543A29">
              <w:rPr>
                <w:rFonts w:ascii="Garamond" w:hAnsi="Garamond"/>
                <w:iCs/>
                <w:sz w:val="18"/>
                <w:lang w:val="sq-AL"/>
              </w:rPr>
              <w:t>7</w:t>
            </w:r>
            <w:r w:rsidR="00543A29">
              <w:rPr>
                <w:rFonts w:ascii="Garamond" w:hAnsi="Garamond"/>
                <w:iCs/>
                <w:sz w:val="18"/>
                <w:lang w:val="sq-AL"/>
              </w:rPr>
              <w:t>.</w:t>
            </w:r>
            <w:r w:rsidRPr="00543A29">
              <w:rPr>
                <w:rFonts w:ascii="Garamond" w:hAnsi="Garamond"/>
                <w:iCs/>
                <w:sz w:val="18"/>
                <w:lang w:val="sq-AL"/>
              </w:rPr>
              <w:t>2007</w:t>
            </w:r>
          </w:p>
          <w:p w14:paraId="27EEC390" w14:textId="0721F632" w:rsidR="006474C8" w:rsidRPr="00543A29" w:rsidRDefault="006474C8" w:rsidP="00AC1AFD">
            <w:pPr>
              <w:pStyle w:val="ECHRDecisionBody"/>
              <w:jc w:val="center"/>
              <w:rPr>
                <w:rFonts w:ascii="Garamond" w:hAnsi="Garamond"/>
                <w:iCs/>
                <w:sz w:val="18"/>
                <w:lang w:val="sq-AL"/>
              </w:rPr>
            </w:pPr>
          </w:p>
        </w:tc>
        <w:tc>
          <w:tcPr>
            <w:tcW w:w="2099" w:type="dxa"/>
          </w:tcPr>
          <w:p w14:paraId="43BB70BA" w14:textId="6E645FBD" w:rsidR="00137962"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15</w:t>
            </w:r>
            <w:r w:rsidR="00543A29">
              <w:rPr>
                <w:rFonts w:ascii="Garamond" w:hAnsi="Garamond"/>
                <w:iCs/>
                <w:sz w:val="18"/>
                <w:lang w:val="sq-AL"/>
              </w:rPr>
              <w:t>.</w:t>
            </w:r>
            <w:r w:rsidRPr="00543A29">
              <w:rPr>
                <w:rFonts w:ascii="Garamond" w:hAnsi="Garamond"/>
                <w:iCs/>
                <w:sz w:val="18"/>
                <w:lang w:val="sq-AL"/>
              </w:rPr>
              <w:t>7</w:t>
            </w:r>
            <w:r w:rsidR="00543A29">
              <w:rPr>
                <w:rFonts w:ascii="Garamond" w:hAnsi="Garamond"/>
                <w:iCs/>
                <w:sz w:val="18"/>
                <w:lang w:val="sq-AL"/>
              </w:rPr>
              <w:t>.</w:t>
            </w:r>
            <w:r w:rsidRPr="00543A29">
              <w:rPr>
                <w:rFonts w:ascii="Garamond" w:hAnsi="Garamond"/>
                <w:iCs/>
                <w:sz w:val="18"/>
                <w:lang w:val="sq-AL"/>
              </w:rPr>
              <w:t>2017</w:t>
            </w:r>
          </w:p>
          <w:p w14:paraId="08E069DD" w14:textId="6A6F70E6" w:rsidR="00137962"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(n</w:t>
            </w:r>
            <w:r w:rsidR="00153AA4" w:rsidRPr="00543A29">
              <w:rPr>
                <w:rFonts w:ascii="Garamond" w:hAnsi="Garamond"/>
                <w:iCs/>
                <w:sz w:val="18"/>
                <w:lang w:val="sq-AL"/>
              </w:rPr>
              <w:t>ë</w:t>
            </w:r>
            <w:r w:rsidRPr="00543A29">
              <w:rPr>
                <w:rFonts w:ascii="Garamond" w:hAnsi="Garamond"/>
                <w:iCs/>
                <w:sz w:val="18"/>
                <w:lang w:val="sq-AL"/>
              </w:rPr>
              <w:t xml:space="preserve"> at</w:t>
            </w:r>
            <w:r w:rsidR="00153AA4" w:rsidRPr="00543A29">
              <w:rPr>
                <w:rFonts w:ascii="Garamond" w:hAnsi="Garamond"/>
                <w:iCs/>
                <w:sz w:val="18"/>
                <w:lang w:val="sq-AL"/>
              </w:rPr>
              <w:t>ë</w:t>
            </w:r>
            <w:r w:rsidRPr="00543A29">
              <w:rPr>
                <w:rFonts w:ascii="Garamond" w:hAnsi="Garamond"/>
                <w:iCs/>
                <w:sz w:val="18"/>
                <w:lang w:val="sq-AL"/>
              </w:rPr>
              <w:t xml:space="preserve"> dat</w:t>
            </w:r>
            <w:r w:rsidR="00153AA4" w:rsidRPr="00543A29">
              <w:rPr>
                <w:rFonts w:ascii="Garamond" w:hAnsi="Garamond"/>
                <w:iCs/>
                <w:sz w:val="18"/>
                <w:lang w:val="sq-AL"/>
              </w:rPr>
              <w:t>ë</w:t>
            </w:r>
            <w:r w:rsidRPr="00543A29">
              <w:rPr>
                <w:rFonts w:ascii="Garamond" w:hAnsi="Garamond"/>
                <w:iCs/>
                <w:sz w:val="18"/>
                <w:lang w:val="sq-AL"/>
              </w:rPr>
              <w:t xml:space="preserve"> k</w:t>
            </w:r>
            <w:r w:rsidR="00153AA4" w:rsidRPr="00543A29">
              <w:rPr>
                <w:rFonts w:ascii="Garamond" w:hAnsi="Garamond"/>
                <w:iCs/>
                <w:sz w:val="18"/>
                <w:lang w:val="sq-AL"/>
              </w:rPr>
              <w:t>ë</w:t>
            </w:r>
            <w:r w:rsidRPr="00543A29">
              <w:rPr>
                <w:rFonts w:ascii="Garamond" w:hAnsi="Garamond"/>
                <w:iCs/>
                <w:sz w:val="18"/>
                <w:lang w:val="sq-AL"/>
              </w:rPr>
              <w:t>rkuesja arriti mosh</w:t>
            </w:r>
            <w:r w:rsidR="00153AA4" w:rsidRPr="00543A29">
              <w:rPr>
                <w:rFonts w:ascii="Garamond" w:hAnsi="Garamond"/>
                <w:iCs/>
                <w:sz w:val="18"/>
                <w:lang w:val="sq-AL"/>
              </w:rPr>
              <w:t>ë</w:t>
            </w:r>
            <w:r w:rsidRPr="00543A29">
              <w:rPr>
                <w:rFonts w:ascii="Garamond" w:hAnsi="Garamond"/>
                <w:iCs/>
                <w:sz w:val="18"/>
                <w:lang w:val="sq-AL"/>
              </w:rPr>
              <w:t>n e daljes n</w:t>
            </w:r>
            <w:r w:rsidR="00153AA4" w:rsidRPr="00543A29">
              <w:rPr>
                <w:rFonts w:ascii="Garamond" w:hAnsi="Garamond"/>
                <w:iCs/>
                <w:sz w:val="18"/>
                <w:lang w:val="sq-AL"/>
              </w:rPr>
              <w:t>ë</w:t>
            </w:r>
            <w:r w:rsidRPr="00543A29">
              <w:rPr>
                <w:rFonts w:ascii="Garamond" w:hAnsi="Garamond"/>
                <w:iCs/>
                <w:sz w:val="18"/>
                <w:lang w:val="sq-AL"/>
              </w:rPr>
              <w:t xml:space="preserve"> pension)</w:t>
            </w:r>
          </w:p>
          <w:p w14:paraId="2449F20B" w14:textId="77777777" w:rsidR="00137962" w:rsidRPr="00543A29" w:rsidRDefault="00137962" w:rsidP="00AC1AFD">
            <w:pPr>
              <w:pStyle w:val="ECHRDecisionBody"/>
              <w:jc w:val="center"/>
              <w:rPr>
                <w:rFonts w:ascii="Garamond" w:hAnsi="Garamond"/>
                <w:iCs/>
                <w:sz w:val="18"/>
                <w:lang w:val="sq-AL"/>
              </w:rPr>
            </w:pPr>
          </w:p>
          <w:p w14:paraId="64A37428" w14:textId="6CA8F883" w:rsidR="006474C8"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10 vite dhe 3 dit</w:t>
            </w:r>
            <w:r w:rsidR="00153AA4" w:rsidRPr="00543A29">
              <w:rPr>
                <w:rFonts w:ascii="Garamond" w:hAnsi="Garamond"/>
                <w:iCs/>
                <w:sz w:val="18"/>
                <w:lang w:val="sq-AL"/>
              </w:rPr>
              <w:t>ë</w:t>
            </w:r>
          </w:p>
        </w:tc>
        <w:tc>
          <w:tcPr>
            <w:tcW w:w="1392" w:type="dxa"/>
          </w:tcPr>
          <w:p w14:paraId="71A83169" w14:textId="2AA9F01A" w:rsidR="006474C8"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Rikthimi i k</w:t>
            </w:r>
            <w:r w:rsidR="00153AA4" w:rsidRPr="00543A29">
              <w:rPr>
                <w:rFonts w:ascii="Garamond" w:hAnsi="Garamond"/>
                <w:iCs/>
                <w:sz w:val="18"/>
                <w:lang w:val="sq-AL"/>
              </w:rPr>
              <w:t>ë</w:t>
            </w:r>
            <w:r w:rsidRPr="00543A29">
              <w:rPr>
                <w:rFonts w:ascii="Garamond" w:hAnsi="Garamond"/>
                <w:iCs/>
                <w:sz w:val="18"/>
                <w:lang w:val="sq-AL"/>
              </w:rPr>
              <w:t>rkueses n</w:t>
            </w:r>
            <w:r w:rsidR="00153AA4" w:rsidRPr="00543A29">
              <w:rPr>
                <w:rFonts w:ascii="Garamond" w:hAnsi="Garamond"/>
                <w:iCs/>
                <w:sz w:val="18"/>
                <w:lang w:val="sq-AL"/>
              </w:rPr>
              <w:t>ë</w:t>
            </w:r>
            <w:r w:rsidRPr="00543A29">
              <w:rPr>
                <w:rFonts w:ascii="Garamond" w:hAnsi="Garamond"/>
                <w:iCs/>
                <w:sz w:val="18"/>
                <w:lang w:val="sq-AL"/>
              </w:rPr>
              <w:t xml:space="preserve"> pozicionin e saj t</w:t>
            </w:r>
            <w:r w:rsidR="00153AA4" w:rsidRPr="00543A29">
              <w:rPr>
                <w:rFonts w:ascii="Garamond" w:hAnsi="Garamond"/>
                <w:iCs/>
                <w:sz w:val="18"/>
                <w:lang w:val="sq-AL"/>
              </w:rPr>
              <w:t>ë</w:t>
            </w:r>
            <w:r w:rsidRPr="00543A29">
              <w:rPr>
                <w:rFonts w:ascii="Garamond" w:hAnsi="Garamond"/>
                <w:iCs/>
                <w:sz w:val="18"/>
                <w:lang w:val="sq-AL"/>
              </w:rPr>
              <w:t xml:space="preserve"> m</w:t>
            </w:r>
            <w:r w:rsidR="00153AA4" w:rsidRPr="00543A29">
              <w:rPr>
                <w:rFonts w:ascii="Garamond" w:hAnsi="Garamond"/>
                <w:iCs/>
                <w:sz w:val="18"/>
                <w:lang w:val="sq-AL"/>
              </w:rPr>
              <w:t>ë</w:t>
            </w:r>
            <w:r w:rsidRPr="00543A29">
              <w:rPr>
                <w:rFonts w:ascii="Garamond" w:hAnsi="Garamond"/>
                <w:iCs/>
                <w:sz w:val="18"/>
                <w:lang w:val="sq-AL"/>
              </w:rPr>
              <w:t>parsh</w:t>
            </w:r>
            <w:r w:rsidR="00153AA4" w:rsidRPr="00543A29">
              <w:rPr>
                <w:rFonts w:ascii="Garamond" w:hAnsi="Garamond"/>
                <w:iCs/>
                <w:sz w:val="18"/>
                <w:lang w:val="sq-AL"/>
              </w:rPr>
              <w:t>ë</w:t>
            </w:r>
            <w:r w:rsidRPr="00543A29">
              <w:rPr>
                <w:rFonts w:ascii="Garamond" w:hAnsi="Garamond"/>
                <w:iCs/>
                <w:sz w:val="18"/>
                <w:lang w:val="sq-AL"/>
              </w:rPr>
              <w:t>m dhe shlyerja e pagave t</w:t>
            </w:r>
            <w:r w:rsidR="00153AA4" w:rsidRPr="00543A29">
              <w:rPr>
                <w:rFonts w:ascii="Garamond" w:hAnsi="Garamond"/>
                <w:iCs/>
                <w:sz w:val="18"/>
                <w:lang w:val="sq-AL"/>
              </w:rPr>
              <w:t>ë</w:t>
            </w:r>
            <w:r w:rsidRPr="00543A29">
              <w:rPr>
                <w:rFonts w:ascii="Garamond" w:hAnsi="Garamond"/>
                <w:iCs/>
                <w:sz w:val="18"/>
                <w:lang w:val="sq-AL"/>
              </w:rPr>
              <w:t xml:space="preserve"> prapambetura deri n</w:t>
            </w:r>
            <w:r w:rsidR="00153AA4" w:rsidRPr="00543A29">
              <w:rPr>
                <w:rFonts w:ascii="Garamond" w:hAnsi="Garamond"/>
                <w:iCs/>
                <w:sz w:val="18"/>
                <w:lang w:val="sq-AL"/>
              </w:rPr>
              <w:t>ë</w:t>
            </w:r>
            <w:r w:rsidRPr="00543A29">
              <w:rPr>
                <w:rFonts w:ascii="Garamond" w:hAnsi="Garamond"/>
                <w:iCs/>
                <w:sz w:val="18"/>
                <w:lang w:val="sq-AL"/>
              </w:rPr>
              <w:t xml:space="preserve"> rikthimin n</w:t>
            </w:r>
            <w:r w:rsidR="00153AA4" w:rsidRPr="00543A29">
              <w:rPr>
                <w:rFonts w:ascii="Garamond" w:hAnsi="Garamond"/>
                <w:iCs/>
                <w:sz w:val="18"/>
                <w:lang w:val="sq-AL"/>
              </w:rPr>
              <w:t>ë</w:t>
            </w:r>
            <w:r w:rsidRPr="00543A29">
              <w:rPr>
                <w:rFonts w:ascii="Garamond" w:hAnsi="Garamond"/>
                <w:iCs/>
                <w:sz w:val="18"/>
                <w:lang w:val="sq-AL"/>
              </w:rPr>
              <w:t xml:space="preserve"> detyr</w:t>
            </w:r>
            <w:r w:rsidR="00153AA4" w:rsidRPr="00543A29">
              <w:rPr>
                <w:rFonts w:ascii="Garamond" w:hAnsi="Garamond"/>
                <w:iCs/>
                <w:sz w:val="18"/>
                <w:lang w:val="sq-AL"/>
              </w:rPr>
              <w:t>ë</w:t>
            </w:r>
          </w:p>
        </w:tc>
        <w:tc>
          <w:tcPr>
            <w:tcW w:w="1348" w:type="dxa"/>
          </w:tcPr>
          <w:p w14:paraId="3675E58F" w14:textId="50014C07" w:rsidR="006474C8"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Urdhri p</w:t>
            </w:r>
            <w:r w:rsidR="00153AA4" w:rsidRPr="00543A29">
              <w:rPr>
                <w:rFonts w:ascii="Garamond" w:hAnsi="Garamond"/>
                <w:iCs/>
                <w:sz w:val="18"/>
                <w:lang w:val="sq-AL"/>
              </w:rPr>
              <w:t>ë</w:t>
            </w:r>
            <w:r w:rsidRPr="00543A29">
              <w:rPr>
                <w:rFonts w:ascii="Garamond" w:hAnsi="Garamond"/>
                <w:iCs/>
                <w:sz w:val="18"/>
                <w:lang w:val="sq-AL"/>
              </w:rPr>
              <w:t>r ekzekutimin e vendimit nr. 1270 i dat</w:t>
            </w:r>
            <w:r w:rsidR="00153AA4" w:rsidRPr="00543A29">
              <w:rPr>
                <w:rFonts w:ascii="Garamond" w:hAnsi="Garamond"/>
                <w:iCs/>
                <w:sz w:val="18"/>
                <w:lang w:val="sq-AL"/>
              </w:rPr>
              <w:t>ë</w:t>
            </w:r>
            <w:r w:rsidRPr="00543A29">
              <w:rPr>
                <w:rFonts w:ascii="Garamond" w:hAnsi="Garamond"/>
                <w:iCs/>
                <w:sz w:val="18"/>
                <w:lang w:val="sq-AL"/>
              </w:rPr>
              <w:t>s 13</w:t>
            </w:r>
            <w:r w:rsidR="00543A29">
              <w:rPr>
                <w:rFonts w:ascii="Garamond" w:hAnsi="Garamond"/>
                <w:iCs/>
                <w:sz w:val="18"/>
                <w:lang w:val="sq-AL"/>
              </w:rPr>
              <w:t>.</w:t>
            </w:r>
            <w:r w:rsidRPr="00543A29">
              <w:rPr>
                <w:rFonts w:ascii="Garamond" w:hAnsi="Garamond"/>
                <w:iCs/>
                <w:sz w:val="18"/>
                <w:lang w:val="sq-AL"/>
              </w:rPr>
              <w:t>7</w:t>
            </w:r>
            <w:r w:rsidR="00543A29">
              <w:rPr>
                <w:rFonts w:ascii="Garamond" w:hAnsi="Garamond"/>
                <w:iCs/>
                <w:sz w:val="18"/>
                <w:lang w:val="sq-AL"/>
              </w:rPr>
              <w:t>.</w:t>
            </w:r>
            <w:r w:rsidRPr="00543A29">
              <w:rPr>
                <w:rFonts w:ascii="Garamond" w:hAnsi="Garamond"/>
                <w:iCs/>
                <w:sz w:val="18"/>
                <w:lang w:val="sq-AL"/>
              </w:rPr>
              <w:t>2007 i Gjykat</w:t>
            </w:r>
            <w:r w:rsidR="00153AA4" w:rsidRPr="00543A29">
              <w:rPr>
                <w:rFonts w:ascii="Garamond" w:hAnsi="Garamond"/>
                <w:iCs/>
                <w:sz w:val="18"/>
                <w:lang w:val="sq-AL"/>
              </w:rPr>
              <w:t>ë</w:t>
            </w:r>
            <w:r w:rsidRPr="00543A29">
              <w:rPr>
                <w:rFonts w:ascii="Garamond" w:hAnsi="Garamond"/>
                <w:iCs/>
                <w:sz w:val="18"/>
                <w:lang w:val="sq-AL"/>
              </w:rPr>
              <w:t>s s</w:t>
            </w:r>
            <w:r w:rsidR="00153AA4" w:rsidRPr="00543A29">
              <w:rPr>
                <w:rFonts w:ascii="Garamond" w:hAnsi="Garamond"/>
                <w:iCs/>
                <w:sz w:val="18"/>
                <w:lang w:val="sq-AL"/>
              </w:rPr>
              <w:t>ë</w:t>
            </w:r>
            <w:r w:rsidRPr="00543A29">
              <w:rPr>
                <w:rFonts w:ascii="Garamond" w:hAnsi="Garamond"/>
                <w:iCs/>
                <w:sz w:val="18"/>
                <w:lang w:val="sq-AL"/>
              </w:rPr>
              <w:t xml:space="preserve"> Rrethit Tiran</w:t>
            </w:r>
            <w:r w:rsidR="00153AA4" w:rsidRPr="00543A29">
              <w:rPr>
                <w:rFonts w:ascii="Garamond" w:hAnsi="Garamond"/>
                <w:iCs/>
                <w:sz w:val="18"/>
                <w:lang w:val="sq-AL"/>
              </w:rPr>
              <w:t>ë</w:t>
            </w:r>
          </w:p>
        </w:tc>
        <w:tc>
          <w:tcPr>
            <w:tcW w:w="1079" w:type="dxa"/>
          </w:tcPr>
          <w:p w14:paraId="0962D61F" w14:textId="49E92F3A" w:rsidR="006474C8" w:rsidRPr="00543A29" w:rsidRDefault="00137962" w:rsidP="00AC1AFD">
            <w:pPr>
              <w:pStyle w:val="ECHRDecisionBody"/>
              <w:jc w:val="center"/>
              <w:rPr>
                <w:rFonts w:ascii="Garamond" w:hAnsi="Garamond"/>
                <w:iCs/>
                <w:sz w:val="18"/>
                <w:lang w:val="sq-AL"/>
              </w:rPr>
            </w:pPr>
            <w:r w:rsidRPr="00543A29">
              <w:rPr>
                <w:rFonts w:ascii="Garamond" w:hAnsi="Garamond"/>
                <w:iCs/>
                <w:sz w:val="18"/>
                <w:lang w:val="sq-AL"/>
              </w:rPr>
              <w:t>2,500</w:t>
            </w:r>
          </w:p>
        </w:tc>
        <w:tc>
          <w:tcPr>
            <w:tcW w:w="1412" w:type="dxa"/>
          </w:tcPr>
          <w:p w14:paraId="5C7C854D" w14:textId="5E17E6CD" w:rsidR="006474C8" w:rsidRPr="00543A29" w:rsidRDefault="008B5A1F" w:rsidP="00AC1AFD">
            <w:pPr>
              <w:pStyle w:val="ECHRDecisionBody"/>
              <w:jc w:val="center"/>
              <w:rPr>
                <w:rFonts w:ascii="Garamond" w:hAnsi="Garamond"/>
                <w:iCs/>
                <w:sz w:val="18"/>
                <w:lang w:val="sq-AL"/>
              </w:rPr>
            </w:pPr>
            <w:r w:rsidRPr="00543A29">
              <w:rPr>
                <w:rFonts w:ascii="Garamond" w:hAnsi="Garamond"/>
                <w:iCs/>
                <w:sz w:val="18"/>
                <w:lang w:val="sq-AL"/>
              </w:rPr>
              <w:t>250</w:t>
            </w:r>
          </w:p>
        </w:tc>
      </w:tr>
    </w:tbl>
    <w:p w14:paraId="21042929" w14:textId="6C88B773" w:rsidR="00FE24F0" w:rsidRPr="00543A29" w:rsidRDefault="00FE24F0" w:rsidP="00E907D0">
      <w:pPr>
        <w:spacing w:after="0" w:line="240" w:lineRule="auto"/>
        <w:ind w:firstLine="284"/>
        <w:rPr>
          <w:rFonts w:ascii="Garamond" w:hAnsi="Garamond"/>
          <w:sz w:val="24"/>
          <w:szCs w:val="24"/>
        </w:rPr>
      </w:pPr>
    </w:p>
    <w:p w14:paraId="07C81BF7" w14:textId="77777777" w:rsidR="00F660B4" w:rsidRPr="00543A29" w:rsidRDefault="00F660B4" w:rsidP="00E907D0">
      <w:pPr>
        <w:spacing w:after="0" w:line="240" w:lineRule="auto"/>
        <w:ind w:firstLine="284"/>
        <w:rPr>
          <w:rFonts w:ascii="Garamond" w:hAnsi="Garamond"/>
          <w:sz w:val="24"/>
          <w:szCs w:val="24"/>
        </w:rPr>
      </w:pPr>
    </w:p>
    <w:p w14:paraId="5907402F" w14:textId="77777777" w:rsidR="00F660B4" w:rsidRPr="00543A29" w:rsidRDefault="00F660B4" w:rsidP="00E907D0">
      <w:pPr>
        <w:spacing w:after="0" w:line="240" w:lineRule="auto"/>
        <w:ind w:firstLine="284"/>
        <w:rPr>
          <w:rFonts w:ascii="Garamond" w:hAnsi="Garamond"/>
          <w:sz w:val="24"/>
          <w:szCs w:val="24"/>
        </w:rPr>
      </w:pPr>
    </w:p>
    <w:p w14:paraId="02380225" w14:textId="77777777" w:rsidR="00F660B4" w:rsidRPr="00543A29" w:rsidRDefault="00F660B4" w:rsidP="00E907D0">
      <w:pPr>
        <w:spacing w:after="0" w:line="240" w:lineRule="auto"/>
        <w:ind w:firstLine="284"/>
        <w:rPr>
          <w:rFonts w:ascii="Garamond" w:hAnsi="Garamond"/>
          <w:sz w:val="24"/>
          <w:szCs w:val="24"/>
        </w:rPr>
      </w:pPr>
    </w:p>
    <w:sectPr w:rsidR="00F660B4" w:rsidRPr="00543A29" w:rsidSect="00064021">
      <w:pgSz w:w="16840" w:h="11907" w:orient="landscape" w:code="9"/>
      <w:pgMar w:top="1418" w:right="57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D62E0" w14:textId="77777777" w:rsidR="007E671A" w:rsidRDefault="007E671A">
      <w:pPr>
        <w:spacing w:after="0" w:line="240" w:lineRule="auto"/>
      </w:pPr>
      <w:r>
        <w:separator/>
      </w:r>
    </w:p>
  </w:endnote>
  <w:endnote w:type="continuationSeparator" w:id="0">
    <w:p w14:paraId="1CD5C5C1" w14:textId="77777777" w:rsidR="007E671A" w:rsidRDefault="007E671A">
      <w:pPr>
        <w:spacing w:after="0" w:line="240" w:lineRule="auto"/>
      </w:pPr>
      <w:r>
        <w:continuationSeparator/>
      </w:r>
    </w:p>
  </w:endnote>
  <w:endnote w:type="continuationNotice" w:id="1">
    <w:p w14:paraId="1BD977DA" w14:textId="77777777" w:rsidR="007E671A" w:rsidRDefault="007E6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BC375" w14:textId="77777777" w:rsidR="007E671A" w:rsidRDefault="007E671A" w:rsidP="000F5CC1">
    <w:pPr>
      <w:pStyle w:val="Footer"/>
    </w:pPr>
  </w:p>
  <w:p w14:paraId="1E963274" w14:textId="77777777" w:rsidR="007E671A" w:rsidRPr="00CC26CB" w:rsidRDefault="007E671A" w:rsidP="000F5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7DA29" w14:textId="77777777" w:rsidR="007E671A" w:rsidRDefault="007E671A">
      <w:pPr>
        <w:spacing w:after="0" w:line="240" w:lineRule="auto"/>
      </w:pPr>
      <w:r>
        <w:separator/>
      </w:r>
    </w:p>
  </w:footnote>
  <w:footnote w:type="continuationSeparator" w:id="0">
    <w:p w14:paraId="16ED2570" w14:textId="77777777" w:rsidR="007E671A" w:rsidRDefault="007E671A">
      <w:pPr>
        <w:spacing w:after="0" w:line="240" w:lineRule="auto"/>
      </w:pPr>
      <w:r>
        <w:continuationSeparator/>
      </w:r>
    </w:p>
  </w:footnote>
  <w:footnote w:type="continuationNotice" w:id="1">
    <w:p w14:paraId="041EBCA9" w14:textId="77777777" w:rsidR="007E671A" w:rsidRDefault="007E671A">
      <w:pPr>
        <w:spacing w:after="0" w:line="240" w:lineRule="auto"/>
      </w:pPr>
    </w:p>
  </w:footnote>
  <w:footnote w:id="2">
    <w:p w14:paraId="6C08F350" w14:textId="1CFC1F17" w:rsidR="007E671A" w:rsidRPr="00AC1AFD" w:rsidRDefault="007E671A" w:rsidP="00AC1AFD">
      <w:pPr>
        <w:pStyle w:val="FootnoteText"/>
        <w:spacing w:after="0" w:line="240" w:lineRule="auto"/>
        <w:rPr>
          <w:rFonts w:ascii="Garamond" w:hAnsi="Garamond"/>
        </w:rPr>
      </w:pPr>
      <w:r w:rsidRPr="00AC1AFD">
        <w:rPr>
          <w:rStyle w:val="FootnoteReference"/>
          <w:rFonts w:ascii="Garamond" w:hAnsi="Garamond"/>
        </w:rPr>
        <w:footnoteRef/>
      </w:r>
      <w:r w:rsidRPr="00AC1AFD">
        <w:rPr>
          <w:rFonts w:ascii="Garamond" w:hAnsi="Garamond"/>
        </w:rPr>
        <w:t xml:space="preserve"> Plus çdo taksë që mund t’i </w:t>
      </w:r>
      <w:proofErr w:type="spellStart"/>
      <w:r w:rsidRPr="00AC1AFD">
        <w:rPr>
          <w:rFonts w:ascii="Garamond" w:hAnsi="Garamond"/>
        </w:rPr>
        <w:t>tarifohet</w:t>
      </w:r>
      <w:proofErr w:type="spellEnd"/>
      <w:r w:rsidRPr="00AC1AFD">
        <w:rPr>
          <w:rFonts w:ascii="Garamond" w:hAnsi="Garamond"/>
        </w:rPr>
        <w:t xml:space="preserve"> kërkuesve.</w:t>
      </w:r>
    </w:p>
  </w:footnote>
  <w:footnote w:id="3">
    <w:p w14:paraId="39960826" w14:textId="77777777" w:rsidR="007E671A" w:rsidRDefault="007E671A" w:rsidP="00AC1AFD">
      <w:pPr>
        <w:pStyle w:val="FootnoteText"/>
        <w:spacing w:after="0" w:line="240" w:lineRule="auto"/>
      </w:pPr>
      <w:r w:rsidRPr="00AC1AFD">
        <w:rPr>
          <w:rStyle w:val="FootnoteReference"/>
          <w:rFonts w:ascii="Garamond" w:hAnsi="Garamond"/>
        </w:rPr>
        <w:footnoteRef/>
      </w:r>
      <w:r w:rsidRPr="00AC1AFD">
        <w:rPr>
          <w:rFonts w:ascii="Garamond" w:hAnsi="Garamond"/>
        </w:rPr>
        <w:t xml:space="preserve"> Plus çdo taksë që mund t’i </w:t>
      </w:r>
      <w:proofErr w:type="spellStart"/>
      <w:r w:rsidRPr="00AC1AFD">
        <w:rPr>
          <w:rFonts w:ascii="Garamond" w:hAnsi="Garamond"/>
        </w:rPr>
        <w:t>tarifohet</w:t>
      </w:r>
      <w:proofErr w:type="spellEnd"/>
      <w:r w:rsidRPr="00AC1AFD">
        <w:rPr>
          <w:rFonts w:ascii="Garamond" w:hAnsi="Garamond"/>
        </w:rPr>
        <w:t xml:space="preserve"> kërkuesve.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4CC71" w14:textId="77777777" w:rsidR="007E671A" w:rsidRDefault="007E6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5264172"/>
    <w:multiLevelType w:val="hybridMultilevel"/>
    <w:tmpl w:val="4AF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CD35BF"/>
    <w:multiLevelType w:val="hybridMultilevel"/>
    <w:tmpl w:val="8626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956A0C"/>
    <w:multiLevelType w:val="hybridMultilevel"/>
    <w:tmpl w:val="41D87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3">
    <w:nsid w:val="134E4D75"/>
    <w:multiLevelType w:val="hybridMultilevel"/>
    <w:tmpl w:val="81843436"/>
    <w:lvl w:ilvl="0" w:tplc="DB96B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D769E6"/>
    <w:multiLevelType w:val="hybridMultilevel"/>
    <w:tmpl w:val="76CE2AAA"/>
    <w:lvl w:ilvl="0" w:tplc="8F44A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184BEF"/>
    <w:multiLevelType w:val="hybridMultilevel"/>
    <w:tmpl w:val="C9CC37BE"/>
    <w:lvl w:ilvl="0" w:tplc="33A81E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4F06C3"/>
    <w:multiLevelType w:val="hybridMultilevel"/>
    <w:tmpl w:val="04BE6E66"/>
    <w:lvl w:ilvl="0" w:tplc="F40AC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121C8"/>
    <w:multiLevelType w:val="hybridMultilevel"/>
    <w:tmpl w:val="9B3C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03055A"/>
    <w:multiLevelType w:val="hybridMultilevel"/>
    <w:tmpl w:val="AC7ECC3E"/>
    <w:lvl w:ilvl="0" w:tplc="1938B9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3113F"/>
    <w:multiLevelType w:val="hybridMultilevel"/>
    <w:tmpl w:val="540A651A"/>
    <w:lvl w:ilvl="0" w:tplc="BFCED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74B6D"/>
    <w:multiLevelType w:val="hybridMultilevel"/>
    <w:tmpl w:val="71F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72804"/>
    <w:multiLevelType w:val="hybridMultilevel"/>
    <w:tmpl w:val="5610F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0702A"/>
    <w:multiLevelType w:val="hybridMultilevel"/>
    <w:tmpl w:val="C908AB80"/>
    <w:lvl w:ilvl="0" w:tplc="E9C00F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2502E"/>
    <w:multiLevelType w:val="hybridMultilevel"/>
    <w:tmpl w:val="1D9EA08A"/>
    <w:lvl w:ilvl="0" w:tplc="C70E1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1721B7"/>
    <w:multiLevelType w:val="hybridMultilevel"/>
    <w:tmpl w:val="66BA5250"/>
    <w:lvl w:ilvl="0" w:tplc="6E0C3B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1C743B"/>
    <w:multiLevelType w:val="hybridMultilevel"/>
    <w:tmpl w:val="4B7C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F00E4"/>
    <w:multiLevelType w:val="hybridMultilevel"/>
    <w:tmpl w:val="0EEA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90062"/>
    <w:multiLevelType w:val="hybridMultilevel"/>
    <w:tmpl w:val="D8F48306"/>
    <w:lvl w:ilvl="0" w:tplc="FE247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nsid w:val="6D547293"/>
    <w:multiLevelType w:val="hybridMultilevel"/>
    <w:tmpl w:val="F70AFEF2"/>
    <w:lvl w:ilvl="0" w:tplc="2E664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1"/>
  </w:num>
  <w:num w:numId="4">
    <w:abstractNumId w:val="20"/>
  </w:num>
  <w:num w:numId="5">
    <w:abstractNumId w:val="15"/>
  </w:num>
  <w:num w:numId="6">
    <w:abstractNumId w:val="14"/>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19"/>
  </w:num>
  <w:num w:numId="17">
    <w:abstractNumId w:val="29"/>
  </w:num>
  <w:num w:numId="18">
    <w:abstractNumId w:val="28"/>
  </w:num>
  <w:num w:numId="19">
    <w:abstractNumId w:val="32"/>
  </w:num>
  <w:num w:numId="20">
    <w:abstractNumId w:val="9"/>
  </w:num>
  <w:num w:numId="21">
    <w:abstractNumId w:val="26"/>
  </w:num>
  <w:num w:numId="22">
    <w:abstractNumId w:val="21"/>
  </w:num>
  <w:num w:numId="23">
    <w:abstractNumId w:val="22"/>
  </w:num>
  <w:num w:numId="24">
    <w:abstractNumId w:val="11"/>
  </w:num>
  <w:num w:numId="25">
    <w:abstractNumId w:val="23"/>
  </w:num>
  <w:num w:numId="26">
    <w:abstractNumId w:val="18"/>
  </w:num>
  <w:num w:numId="27">
    <w:abstractNumId w:val="27"/>
  </w:num>
  <w:num w:numId="28">
    <w:abstractNumId w:val="24"/>
  </w:num>
  <w:num w:numId="29">
    <w:abstractNumId w:val="25"/>
  </w:num>
  <w:num w:numId="30">
    <w:abstractNumId w:val="10"/>
  </w:num>
  <w:num w:numId="31">
    <w:abstractNumId w:val="30"/>
  </w:num>
  <w:num w:numId="32">
    <w:abstractNumId w:val="17"/>
  </w:num>
  <w:num w:numId="33">
    <w:abstractNumId w:val="16"/>
  </w:num>
  <w:num w:numId="3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8E"/>
    <w:rsid w:val="000030B5"/>
    <w:rsid w:val="000252D1"/>
    <w:rsid w:val="00027B41"/>
    <w:rsid w:val="00064021"/>
    <w:rsid w:val="00064AB7"/>
    <w:rsid w:val="00066247"/>
    <w:rsid w:val="000748FA"/>
    <w:rsid w:val="00083643"/>
    <w:rsid w:val="000A43A3"/>
    <w:rsid w:val="000B0E58"/>
    <w:rsid w:val="000B129D"/>
    <w:rsid w:val="000B4046"/>
    <w:rsid w:val="000C0685"/>
    <w:rsid w:val="000C1D45"/>
    <w:rsid w:val="000E1C87"/>
    <w:rsid w:val="000F5CC1"/>
    <w:rsid w:val="001215AA"/>
    <w:rsid w:val="00131D9B"/>
    <w:rsid w:val="00134FB7"/>
    <w:rsid w:val="00137962"/>
    <w:rsid w:val="00145F8E"/>
    <w:rsid w:val="00153AA4"/>
    <w:rsid w:val="001F4440"/>
    <w:rsid w:val="00225D0B"/>
    <w:rsid w:val="00245C4B"/>
    <w:rsid w:val="002712CB"/>
    <w:rsid w:val="0027642E"/>
    <w:rsid w:val="00290052"/>
    <w:rsid w:val="002C305E"/>
    <w:rsid w:val="002C7D02"/>
    <w:rsid w:val="002E16FE"/>
    <w:rsid w:val="00317F5E"/>
    <w:rsid w:val="0035541D"/>
    <w:rsid w:val="00361F61"/>
    <w:rsid w:val="00365469"/>
    <w:rsid w:val="0037781B"/>
    <w:rsid w:val="00431C7F"/>
    <w:rsid w:val="00445981"/>
    <w:rsid w:val="004712CE"/>
    <w:rsid w:val="004838D2"/>
    <w:rsid w:val="00485BD7"/>
    <w:rsid w:val="004A5249"/>
    <w:rsid w:val="004B2EA9"/>
    <w:rsid w:val="004C63B5"/>
    <w:rsid w:val="004D36C7"/>
    <w:rsid w:val="004E424A"/>
    <w:rsid w:val="004F4A31"/>
    <w:rsid w:val="004F785C"/>
    <w:rsid w:val="00503B90"/>
    <w:rsid w:val="005154F1"/>
    <w:rsid w:val="005423F9"/>
    <w:rsid w:val="00543A29"/>
    <w:rsid w:val="005A1F23"/>
    <w:rsid w:val="005F424E"/>
    <w:rsid w:val="005F7DCF"/>
    <w:rsid w:val="00605046"/>
    <w:rsid w:val="0063604E"/>
    <w:rsid w:val="006474C8"/>
    <w:rsid w:val="00665A1F"/>
    <w:rsid w:val="00666E22"/>
    <w:rsid w:val="00674F0C"/>
    <w:rsid w:val="006F3120"/>
    <w:rsid w:val="0072391A"/>
    <w:rsid w:val="0074535E"/>
    <w:rsid w:val="00793D7D"/>
    <w:rsid w:val="007A60A6"/>
    <w:rsid w:val="007B259E"/>
    <w:rsid w:val="007B2BD1"/>
    <w:rsid w:val="007E3123"/>
    <w:rsid w:val="007E671A"/>
    <w:rsid w:val="007F7D16"/>
    <w:rsid w:val="00843544"/>
    <w:rsid w:val="008659D0"/>
    <w:rsid w:val="0089291C"/>
    <w:rsid w:val="008B5A1F"/>
    <w:rsid w:val="008C6B0B"/>
    <w:rsid w:val="008D4631"/>
    <w:rsid w:val="008F2622"/>
    <w:rsid w:val="009049A5"/>
    <w:rsid w:val="00914B39"/>
    <w:rsid w:val="00915CF9"/>
    <w:rsid w:val="00973D46"/>
    <w:rsid w:val="00980E02"/>
    <w:rsid w:val="009F7A92"/>
    <w:rsid w:val="00A15AFA"/>
    <w:rsid w:val="00A250EC"/>
    <w:rsid w:val="00A440EF"/>
    <w:rsid w:val="00A56EB5"/>
    <w:rsid w:val="00A65515"/>
    <w:rsid w:val="00A704B3"/>
    <w:rsid w:val="00A75655"/>
    <w:rsid w:val="00A9719E"/>
    <w:rsid w:val="00AA1CA3"/>
    <w:rsid w:val="00AB558E"/>
    <w:rsid w:val="00AC1AFD"/>
    <w:rsid w:val="00AC6C75"/>
    <w:rsid w:val="00AD6861"/>
    <w:rsid w:val="00AE7861"/>
    <w:rsid w:val="00AF2863"/>
    <w:rsid w:val="00B05897"/>
    <w:rsid w:val="00B229C3"/>
    <w:rsid w:val="00B2321A"/>
    <w:rsid w:val="00B720B5"/>
    <w:rsid w:val="00B754C6"/>
    <w:rsid w:val="00B80630"/>
    <w:rsid w:val="00BA3B98"/>
    <w:rsid w:val="00BB07C3"/>
    <w:rsid w:val="00BE336B"/>
    <w:rsid w:val="00BE3DA5"/>
    <w:rsid w:val="00C0694E"/>
    <w:rsid w:val="00C32853"/>
    <w:rsid w:val="00C51A2E"/>
    <w:rsid w:val="00C67720"/>
    <w:rsid w:val="00CA7BF2"/>
    <w:rsid w:val="00CD416E"/>
    <w:rsid w:val="00CE0672"/>
    <w:rsid w:val="00CF1D98"/>
    <w:rsid w:val="00CF70D5"/>
    <w:rsid w:val="00D170FE"/>
    <w:rsid w:val="00D40807"/>
    <w:rsid w:val="00D42859"/>
    <w:rsid w:val="00D92F88"/>
    <w:rsid w:val="00DA52DB"/>
    <w:rsid w:val="00E17AC4"/>
    <w:rsid w:val="00E269F8"/>
    <w:rsid w:val="00E54608"/>
    <w:rsid w:val="00E57AF1"/>
    <w:rsid w:val="00E74B65"/>
    <w:rsid w:val="00E76076"/>
    <w:rsid w:val="00E907D0"/>
    <w:rsid w:val="00EA2233"/>
    <w:rsid w:val="00EC0BE6"/>
    <w:rsid w:val="00EF4A39"/>
    <w:rsid w:val="00EF69FB"/>
    <w:rsid w:val="00F247A3"/>
    <w:rsid w:val="00F3722B"/>
    <w:rsid w:val="00F52420"/>
    <w:rsid w:val="00F660B4"/>
    <w:rsid w:val="00F72B7F"/>
    <w:rsid w:val="00FD64B0"/>
    <w:rsid w:val="00FE24F0"/>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215AA"/>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1215AA"/>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1215AA"/>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1215AA"/>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1215AA"/>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1215AA"/>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1215AA"/>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1215AA"/>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1215AA"/>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1215AA"/>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AA"/>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1215AA"/>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1215AA"/>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1215AA"/>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1215AA"/>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1215AA"/>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1215AA"/>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1215AA"/>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1215AA"/>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1215AA"/>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1215AA"/>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1215AA"/>
    <w:rPr>
      <w:color w:val="0000FF"/>
      <w:u w:val="single"/>
    </w:rPr>
  </w:style>
  <w:style w:type="paragraph" w:styleId="ListParagraph">
    <w:name w:val="List Paragraph"/>
    <w:basedOn w:val="Normal"/>
    <w:uiPriority w:val="34"/>
    <w:qFormat/>
    <w:rsid w:val="001215AA"/>
    <w:pPr>
      <w:ind w:left="720"/>
      <w:contextualSpacing/>
    </w:pPr>
  </w:style>
  <w:style w:type="paragraph" w:styleId="BalloonText">
    <w:name w:val="Balloon Text"/>
    <w:basedOn w:val="Normal"/>
    <w:link w:val="BalloonTextChar"/>
    <w:uiPriority w:val="99"/>
    <w:semiHidden/>
    <w:unhideWhenUsed/>
    <w:rsid w:val="001215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215AA"/>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1"/>
    <w:qFormat/>
    <w:rsid w:val="001215AA"/>
    <w:pPr>
      <w:spacing w:after="0" w:line="240" w:lineRule="auto"/>
    </w:pPr>
    <w:rPr>
      <w:rFonts w:ascii="Calibri" w:eastAsia="Times New Roman" w:hAnsi="Calibri" w:cs="Times New Roman"/>
      <w:kern w:val="0"/>
      <w14:ligatures w14:val="none"/>
    </w:rPr>
  </w:style>
  <w:style w:type="paragraph" w:customStyle="1" w:styleId="Default">
    <w:name w:val="Default"/>
    <w:rsid w:val="001215A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1215AA"/>
    <w:rPr>
      <w:sz w:val="20"/>
      <w:szCs w:val="20"/>
    </w:rPr>
  </w:style>
  <w:style w:type="character" w:customStyle="1" w:styleId="FootnoteTextChar">
    <w:name w:val="Footnote Text Char"/>
    <w:basedOn w:val="DefaultParagraphFont"/>
    <w:link w:val="FootnoteText"/>
    <w:uiPriority w:val="99"/>
    <w:semiHidden/>
    <w:rsid w:val="001215AA"/>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1215AA"/>
    <w:rPr>
      <w:vertAlign w:val="superscript"/>
    </w:rPr>
  </w:style>
  <w:style w:type="table" w:styleId="TableGrid">
    <w:name w:val="Table Grid"/>
    <w:basedOn w:val="TableNormal"/>
    <w:uiPriority w:val="59"/>
    <w:rsid w:val="001215AA"/>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1215AA"/>
    <w:rPr>
      <w:i/>
      <w:iCs/>
      <w:smallCaps/>
      <w:spacing w:val="5"/>
    </w:rPr>
  </w:style>
  <w:style w:type="paragraph" w:customStyle="1" w:styleId="ECHRHeader">
    <w:name w:val="ECHR_Header"/>
    <w:aliases w:val="Ju_Header"/>
    <w:basedOn w:val="Header"/>
    <w:uiPriority w:val="4"/>
    <w:qFormat/>
    <w:rsid w:val="001215AA"/>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1215AA"/>
  </w:style>
  <w:style w:type="character" w:styleId="Strong">
    <w:name w:val="Strong"/>
    <w:uiPriority w:val="99"/>
    <w:qFormat/>
    <w:rsid w:val="001215AA"/>
    <w:rPr>
      <w:b/>
      <w:bCs/>
    </w:rPr>
  </w:style>
  <w:style w:type="character" w:customStyle="1" w:styleId="NoSpacingChar">
    <w:name w:val="No Spacing Char"/>
    <w:link w:val="NoSpacing"/>
    <w:uiPriority w:val="1"/>
    <w:rsid w:val="001215AA"/>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1215AA"/>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1215AA"/>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1215AA"/>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1215AA"/>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1215AA"/>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1215AA"/>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1215AA"/>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1215AA"/>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1215AA"/>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1215AA"/>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1215AA"/>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1215AA"/>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1215AA"/>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1215AA"/>
    <w:rPr>
      <w:vanish w:val="0"/>
      <w:color w:val="auto"/>
      <w:sz w:val="14"/>
      <w:bdr w:val="none" w:sz="0" w:space="0" w:color="auto"/>
      <w:shd w:val="clear" w:color="auto" w:fill="BEE5FF"/>
    </w:rPr>
  </w:style>
  <w:style w:type="paragraph" w:customStyle="1" w:styleId="JuLista">
    <w:name w:val="Ju_List_a"/>
    <w:basedOn w:val="JuList"/>
    <w:uiPriority w:val="28"/>
    <w:qFormat/>
    <w:rsid w:val="001215AA"/>
    <w:pPr>
      <w:ind w:left="346" w:firstLine="0"/>
    </w:pPr>
  </w:style>
  <w:style w:type="paragraph" w:customStyle="1" w:styleId="JuListi">
    <w:name w:val="Ju_List_i"/>
    <w:basedOn w:val="Normal"/>
    <w:next w:val="JuLista"/>
    <w:uiPriority w:val="28"/>
    <w:qFormat/>
    <w:rsid w:val="001215AA"/>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1215AA"/>
    <w:rPr>
      <w:caps w:val="0"/>
      <w:smallCaps/>
    </w:rPr>
  </w:style>
  <w:style w:type="paragraph" w:customStyle="1" w:styleId="JuParaSub">
    <w:name w:val="Ju_Para_Sub"/>
    <w:basedOn w:val="ECHRPara"/>
    <w:uiPriority w:val="13"/>
    <w:qFormat/>
    <w:rsid w:val="001215AA"/>
    <w:pPr>
      <w:ind w:left="284"/>
    </w:pPr>
  </w:style>
  <w:style w:type="paragraph" w:customStyle="1" w:styleId="ECHRHeading1">
    <w:name w:val="ECHR_Heading_1"/>
    <w:aliases w:val="Ju_H_I_Roman"/>
    <w:basedOn w:val="Heading1"/>
    <w:next w:val="ECHRPara"/>
    <w:uiPriority w:val="19"/>
    <w:qFormat/>
    <w:rsid w:val="001215AA"/>
  </w:style>
  <w:style w:type="paragraph" w:customStyle="1" w:styleId="ECHRHeading2">
    <w:name w:val="ECHR_Heading_2"/>
    <w:aliases w:val="Ju_H_A"/>
    <w:basedOn w:val="Heading2"/>
    <w:next w:val="ECHRPara"/>
    <w:uiPriority w:val="20"/>
    <w:qFormat/>
    <w:rsid w:val="001215AA"/>
  </w:style>
  <w:style w:type="paragraph" w:customStyle="1" w:styleId="ECHRHeading3">
    <w:name w:val="ECHR_Heading_3"/>
    <w:aliases w:val="Ju_H_1."/>
    <w:basedOn w:val="Heading3"/>
    <w:next w:val="ECHRPara"/>
    <w:uiPriority w:val="21"/>
    <w:qFormat/>
    <w:rsid w:val="001215AA"/>
  </w:style>
  <w:style w:type="paragraph" w:customStyle="1" w:styleId="ECHRHeading4">
    <w:name w:val="ECHR_Heading_4"/>
    <w:aliases w:val="Ju_H_a"/>
    <w:basedOn w:val="Heading4"/>
    <w:next w:val="ECHRPara"/>
    <w:uiPriority w:val="22"/>
    <w:qFormat/>
    <w:rsid w:val="001215AA"/>
  </w:style>
  <w:style w:type="paragraph" w:customStyle="1" w:styleId="ECHRHeading5">
    <w:name w:val="ECHR_Heading_5"/>
    <w:aliases w:val="Ju_H_i"/>
    <w:basedOn w:val="Heading5"/>
    <w:next w:val="ECHRPara"/>
    <w:uiPriority w:val="23"/>
    <w:qFormat/>
    <w:rsid w:val="001215AA"/>
  </w:style>
  <w:style w:type="paragraph" w:customStyle="1" w:styleId="ECHRHeading6">
    <w:name w:val="ECHR_Heading_6"/>
    <w:aliases w:val="Ju_H_alpha"/>
    <w:basedOn w:val="Heading6"/>
    <w:next w:val="ECHRPara"/>
    <w:uiPriority w:val="24"/>
    <w:qFormat/>
    <w:rsid w:val="001215AA"/>
  </w:style>
  <w:style w:type="paragraph" w:customStyle="1" w:styleId="ECHRHeading7">
    <w:name w:val="ECHR_Heading_7"/>
    <w:aliases w:val="Ju_H_–"/>
    <w:basedOn w:val="Heading7"/>
    <w:next w:val="ECHRPara"/>
    <w:uiPriority w:val="25"/>
    <w:qFormat/>
    <w:rsid w:val="001215AA"/>
  </w:style>
  <w:style w:type="paragraph" w:customStyle="1" w:styleId="JuParaLast">
    <w:name w:val="Ju_Para_Last"/>
    <w:basedOn w:val="Normal"/>
    <w:next w:val="ECHRPara"/>
    <w:uiPriority w:val="30"/>
    <w:qFormat/>
    <w:rsid w:val="001215AA"/>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11"/>
    <w:qFormat/>
    <w:rsid w:val="001215AA"/>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1215AA"/>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1215AA"/>
    <w:pPr>
      <w:ind w:left="567"/>
    </w:pPr>
  </w:style>
  <w:style w:type="paragraph" w:customStyle="1" w:styleId="JuTitle">
    <w:name w:val="Ju_Title"/>
    <w:basedOn w:val="Normal"/>
    <w:next w:val="ECHRPara"/>
    <w:uiPriority w:val="3"/>
    <w:semiHidden/>
    <w:qFormat/>
    <w:rsid w:val="001215AA"/>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1215AA"/>
    <w:rPr>
      <w:i/>
      <w:iCs/>
    </w:rPr>
  </w:style>
  <w:style w:type="paragraph" w:customStyle="1" w:styleId="OpiH1">
    <w:name w:val="Opi_H_1"/>
    <w:basedOn w:val="ECHRHeading2"/>
    <w:uiPriority w:val="42"/>
    <w:qFormat/>
    <w:rsid w:val="001215AA"/>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1215AA"/>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1215AA"/>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1215AA"/>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1215AA"/>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1215AA"/>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1215AA"/>
    <w:rPr>
      <w:b/>
      <w:bCs/>
      <w:i/>
      <w:iCs/>
      <w:spacing w:val="10"/>
      <w:bdr w:val="none" w:sz="0" w:space="0" w:color="auto"/>
      <w:shd w:val="clear" w:color="auto" w:fill="auto"/>
    </w:rPr>
  </w:style>
  <w:style w:type="character" w:styleId="IntenseEmphasis">
    <w:name w:val="Intense Emphasis"/>
    <w:uiPriority w:val="99"/>
    <w:qFormat/>
    <w:rsid w:val="001215AA"/>
    <w:rPr>
      <w:b/>
      <w:bCs/>
    </w:rPr>
  </w:style>
  <w:style w:type="paragraph" w:styleId="IntenseQuote">
    <w:name w:val="Intense Quote"/>
    <w:basedOn w:val="Normal"/>
    <w:next w:val="Normal"/>
    <w:link w:val="IntenseQuoteChar"/>
    <w:uiPriority w:val="99"/>
    <w:qFormat/>
    <w:rsid w:val="001215AA"/>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1215AA"/>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1215AA"/>
    <w:rPr>
      <w:smallCaps/>
      <w:spacing w:val="5"/>
      <w:u w:val="single"/>
    </w:rPr>
  </w:style>
  <w:style w:type="table" w:customStyle="1" w:styleId="LtrTableAddress">
    <w:name w:val="Ltr_Table_Addres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1215AA"/>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1215AA"/>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1215AA"/>
    <w:rPr>
      <w:smallCaps/>
    </w:rPr>
  </w:style>
  <w:style w:type="paragraph" w:styleId="TOC1">
    <w:name w:val="toc 1"/>
    <w:basedOn w:val="Normal"/>
    <w:next w:val="Normal"/>
    <w:autoRedefine/>
    <w:uiPriority w:val="99"/>
    <w:semiHidden/>
    <w:rsid w:val="001215AA"/>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1215AA"/>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1215AA"/>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1215AA"/>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1215AA"/>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1215AA"/>
    <w:pPr>
      <w:keepNext/>
      <w:spacing w:before="240" w:after="60"/>
    </w:pPr>
    <w:rPr>
      <w:rFonts w:ascii="Calibri Light" w:hAnsi="Calibri Light"/>
      <w:kern w:val="32"/>
      <w:sz w:val="32"/>
      <w:szCs w:val="32"/>
    </w:rPr>
  </w:style>
  <w:style w:type="table" w:customStyle="1" w:styleId="UGTable">
    <w:name w:val="UG_Table"/>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1215AA"/>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1215AA"/>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1215AA"/>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1215AA"/>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1215AA"/>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1215AA"/>
    <w:pPr>
      <w:numPr>
        <w:numId w:val="4"/>
      </w:numPr>
    </w:pPr>
  </w:style>
  <w:style w:type="paragraph" w:customStyle="1" w:styleId="ECHRPara">
    <w:name w:val="ECHR_Para"/>
    <w:aliases w:val="Ju_Para"/>
    <w:basedOn w:val="Normal"/>
    <w:link w:val="ECHRParaChar"/>
    <w:uiPriority w:val="12"/>
    <w:qFormat/>
    <w:rsid w:val="001215AA"/>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1215AA"/>
    <w:pPr>
      <w:numPr>
        <w:numId w:val="5"/>
      </w:numPr>
    </w:pPr>
  </w:style>
  <w:style w:type="table" w:customStyle="1" w:styleId="ECHRTableSimpleBox">
    <w:name w:val="ECHR_Table_Simple_Box"/>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1215AA"/>
    <w:pPr>
      <w:numPr>
        <w:numId w:val="6"/>
      </w:numPr>
    </w:pPr>
  </w:style>
  <w:style w:type="table" w:customStyle="1" w:styleId="ECHRTableForInternalUse">
    <w:name w:val="ECHR_Table_For_Internal_Use"/>
    <w:basedOn w:val="TableNormal"/>
    <w:uiPriority w:val="99"/>
    <w:rsid w:val="001215AA"/>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1215AA"/>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1215AA"/>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1215AA"/>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1215AA"/>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1215AA"/>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1215AA"/>
    <w:rPr>
      <w:sz w:val="18"/>
    </w:rPr>
  </w:style>
  <w:style w:type="paragraph" w:styleId="ListBullet">
    <w:name w:val="List Bullet"/>
    <w:basedOn w:val="Normal"/>
    <w:uiPriority w:val="99"/>
    <w:semiHidden/>
    <w:rsid w:val="001215AA"/>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1215AA"/>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1215AA"/>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1215AA"/>
    <w:pPr>
      <w:spacing w:after="0"/>
      <w:ind w:firstLine="360"/>
    </w:pPr>
  </w:style>
  <w:style w:type="character" w:customStyle="1" w:styleId="BodyTextFirstIndentChar">
    <w:name w:val="Body Text First Indent Char"/>
    <w:basedOn w:val="BodyTextChar"/>
    <w:link w:val="BodyTextFirs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1215AA"/>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1215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1215AA"/>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1215AA"/>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1215AA"/>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1215AA"/>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1215AA"/>
    <w:rPr>
      <w:sz w:val="16"/>
      <w:szCs w:val="16"/>
    </w:rPr>
  </w:style>
  <w:style w:type="paragraph" w:styleId="CommentText">
    <w:name w:val="annotation text"/>
    <w:basedOn w:val="Normal"/>
    <w:link w:val="CommentTextChar"/>
    <w:uiPriority w:val="99"/>
    <w:semiHidden/>
    <w:rsid w:val="001215AA"/>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1215AA"/>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1215AA"/>
    <w:rPr>
      <w:b/>
      <w:bCs/>
    </w:rPr>
  </w:style>
  <w:style w:type="character" w:customStyle="1" w:styleId="CommentSubjectChar">
    <w:name w:val="Comment Subject Char"/>
    <w:basedOn w:val="CommentTextChar"/>
    <w:link w:val="CommentSubject"/>
    <w:uiPriority w:val="99"/>
    <w:semiHidden/>
    <w:rsid w:val="001215AA"/>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1215AA"/>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1215AA"/>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1215AA"/>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1215AA"/>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1215AA"/>
    <w:rPr>
      <w:vertAlign w:val="superscript"/>
    </w:rPr>
  </w:style>
  <w:style w:type="paragraph" w:styleId="EndnoteText">
    <w:name w:val="endnote text"/>
    <w:basedOn w:val="Normal"/>
    <w:link w:val="EndnoteTextChar"/>
    <w:uiPriority w:val="99"/>
    <w:semiHidden/>
    <w:rsid w:val="001215AA"/>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1215AA"/>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1215AA"/>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1215AA"/>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1215AA"/>
    <w:rPr>
      <w:color w:val="7030A0"/>
      <w:u w:val="single"/>
    </w:rPr>
  </w:style>
  <w:style w:type="character" w:styleId="HTMLAcronym">
    <w:name w:val="HTML Acronym"/>
    <w:basedOn w:val="DefaultParagraphFont"/>
    <w:uiPriority w:val="99"/>
    <w:semiHidden/>
    <w:rsid w:val="001215AA"/>
  </w:style>
  <w:style w:type="paragraph" w:styleId="HTMLAddress">
    <w:name w:val="HTML Address"/>
    <w:basedOn w:val="Normal"/>
    <w:link w:val="HTMLAddressChar"/>
    <w:uiPriority w:val="99"/>
    <w:semiHidden/>
    <w:rsid w:val="001215AA"/>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1215AA"/>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1215AA"/>
    <w:rPr>
      <w:i/>
      <w:iCs/>
    </w:rPr>
  </w:style>
  <w:style w:type="character" w:styleId="HTMLCode">
    <w:name w:val="HTML Code"/>
    <w:uiPriority w:val="99"/>
    <w:semiHidden/>
    <w:rsid w:val="001215AA"/>
    <w:rPr>
      <w:rFonts w:ascii="Consolas" w:hAnsi="Consolas" w:cs="Consolas"/>
      <w:sz w:val="20"/>
      <w:szCs w:val="20"/>
    </w:rPr>
  </w:style>
  <w:style w:type="character" w:styleId="HTMLDefinition">
    <w:name w:val="HTML Definition"/>
    <w:uiPriority w:val="99"/>
    <w:semiHidden/>
    <w:rsid w:val="001215AA"/>
    <w:rPr>
      <w:i/>
      <w:iCs/>
    </w:rPr>
  </w:style>
  <w:style w:type="character" w:styleId="HTMLKeyboard">
    <w:name w:val="HTML Keyboard"/>
    <w:uiPriority w:val="99"/>
    <w:semiHidden/>
    <w:rsid w:val="001215AA"/>
    <w:rPr>
      <w:rFonts w:ascii="Consolas" w:hAnsi="Consolas" w:cs="Consolas"/>
      <w:sz w:val="20"/>
      <w:szCs w:val="20"/>
    </w:rPr>
  </w:style>
  <w:style w:type="paragraph" w:styleId="HTMLPreformatted">
    <w:name w:val="HTML Preformatted"/>
    <w:basedOn w:val="Normal"/>
    <w:link w:val="HTMLPreformattedChar"/>
    <w:uiPriority w:val="99"/>
    <w:semiHidden/>
    <w:rsid w:val="001215AA"/>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1215AA"/>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1215AA"/>
    <w:rPr>
      <w:rFonts w:ascii="Consolas" w:hAnsi="Consolas" w:cs="Consolas"/>
      <w:sz w:val="24"/>
      <w:szCs w:val="24"/>
    </w:rPr>
  </w:style>
  <w:style w:type="character" w:styleId="HTMLTypewriter">
    <w:name w:val="HTML Typewriter"/>
    <w:uiPriority w:val="99"/>
    <w:semiHidden/>
    <w:rsid w:val="001215AA"/>
    <w:rPr>
      <w:rFonts w:ascii="Consolas" w:hAnsi="Consolas" w:cs="Consolas"/>
      <w:sz w:val="20"/>
      <w:szCs w:val="20"/>
    </w:rPr>
  </w:style>
  <w:style w:type="character" w:styleId="HTMLVariable">
    <w:name w:val="HTML Variable"/>
    <w:uiPriority w:val="99"/>
    <w:semiHidden/>
    <w:rsid w:val="001215AA"/>
    <w:rPr>
      <w:i/>
      <w:iCs/>
    </w:rPr>
  </w:style>
  <w:style w:type="paragraph" w:styleId="Index1">
    <w:name w:val="index 1"/>
    <w:basedOn w:val="Normal"/>
    <w:next w:val="Normal"/>
    <w:autoRedefine/>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1215AA"/>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1215AA"/>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1215AA"/>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1215AA"/>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1215AA"/>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1215AA"/>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1215AA"/>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1215AA"/>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1215AA"/>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AA"/>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1215AA"/>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1215AA"/>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1215AA"/>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215AA"/>
  </w:style>
  <w:style w:type="paragraph" w:styleId="List">
    <w:name w:val="List"/>
    <w:basedOn w:val="Normal"/>
    <w:uiPriority w:val="99"/>
    <w:semiHidden/>
    <w:rsid w:val="001215AA"/>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1215AA"/>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1215AA"/>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1215AA"/>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1215AA"/>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1215AA"/>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1215AA"/>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1215AA"/>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1215AA"/>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1215AA"/>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1215AA"/>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1215AA"/>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1215AA"/>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1215AA"/>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1215AA"/>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1215AA"/>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1215AA"/>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1215AA"/>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1215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1215AA"/>
    <w:rPr>
      <w:rFonts w:ascii="Consolas" w:eastAsia="MS Mincho" w:hAnsi="Consolas" w:cs="Consolas"/>
      <w:kern w:val="0"/>
      <w:sz w:val="20"/>
      <w:szCs w:val="20"/>
      <w14:ligatures w14:val="none"/>
    </w:rPr>
  </w:style>
  <w:style w:type="table" w:styleId="MediumGrid1">
    <w:name w:val="Medium Grid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1215AA"/>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1215AA"/>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1215AA"/>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1215AA"/>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1215AA"/>
    <w:rPr>
      <w:color w:val="auto"/>
      <w:bdr w:val="none" w:sz="0" w:space="0" w:color="auto"/>
      <w:shd w:val="clear" w:color="auto" w:fill="DFDFDF"/>
    </w:rPr>
  </w:style>
  <w:style w:type="paragraph" w:styleId="PlainText">
    <w:name w:val="Plain Text"/>
    <w:basedOn w:val="Normal"/>
    <w:link w:val="PlainTextChar"/>
    <w:uiPriority w:val="99"/>
    <w:semiHidden/>
    <w:rsid w:val="001215AA"/>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1215AA"/>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1215AA"/>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1215AA"/>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AA"/>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AA"/>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1215AA"/>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215AA"/>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1215AA"/>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1215AA"/>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1215AA"/>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1215AA"/>
  </w:style>
  <w:style w:type="paragraph" w:customStyle="1" w:styleId="OpiParaSub">
    <w:name w:val="Opi_Para_Sub"/>
    <w:basedOn w:val="JuParaSub"/>
    <w:uiPriority w:val="47"/>
    <w:qFormat/>
    <w:rsid w:val="001215AA"/>
  </w:style>
  <w:style w:type="paragraph" w:customStyle="1" w:styleId="ECHRFooter">
    <w:name w:val="ECHR_Footer"/>
    <w:aliases w:val="Footer_ECHR"/>
    <w:basedOn w:val="Footer"/>
    <w:uiPriority w:val="57"/>
    <w:semiHidden/>
    <w:rsid w:val="001215AA"/>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1215AA"/>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1215AA"/>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1215AA"/>
  </w:style>
  <w:style w:type="paragraph" w:customStyle="1" w:styleId="OpiQuotSub">
    <w:name w:val="Opi_Quot_Sub"/>
    <w:basedOn w:val="JuQuotSub"/>
    <w:uiPriority w:val="49"/>
    <w:qFormat/>
    <w:rsid w:val="001215AA"/>
  </w:style>
  <w:style w:type="paragraph" w:customStyle="1" w:styleId="OpiTranslation">
    <w:name w:val="Opi_Translation"/>
    <w:basedOn w:val="Normal"/>
    <w:next w:val="OpiPara"/>
    <w:uiPriority w:val="40"/>
    <w:qFormat/>
    <w:rsid w:val="001215AA"/>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1215AA"/>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1215AA"/>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1215AA"/>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1">
    <w:name w:val="x_s1"/>
    <w:rsid w:val="001215AA"/>
  </w:style>
  <w:style w:type="paragraph" w:customStyle="1" w:styleId="xp2">
    <w:name w:val="x_p2"/>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2">
    <w:name w:val="x_s2"/>
    <w:rsid w:val="00121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215AA"/>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1215AA"/>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1215AA"/>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1215AA"/>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1215AA"/>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1215AA"/>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1215AA"/>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1215AA"/>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1215AA"/>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1215AA"/>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AA"/>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1215AA"/>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1215AA"/>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1215AA"/>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1215AA"/>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1215AA"/>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1215AA"/>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1215AA"/>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1215AA"/>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1215AA"/>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1215AA"/>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1215AA"/>
    <w:rPr>
      <w:color w:val="0000FF"/>
      <w:u w:val="single"/>
    </w:rPr>
  </w:style>
  <w:style w:type="paragraph" w:styleId="ListParagraph">
    <w:name w:val="List Paragraph"/>
    <w:basedOn w:val="Normal"/>
    <w:uiPriority w:val="34"/>
    <w:qFormat/>
    <w:rsid w:val="001215AA"/>
    <w:pPr>
      <w:ind w:left="720"/>
      <w:contextualSpacing/>
    </w:pPr>
  </w:style>
  <w:style w:type="paragraph" w:styleId="BalloonText">
    <w:name w:val="Balloon Text"/>
    <w:basedOn w:val="Normal"/>
    <w:link w:val="BalloonTextChar"/>
    <w:uiPriority w:val="99"/>
    <w:semiHidden/>
    <w:unhideWhenUsed/>
    <w:rsid w:val="001215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215AA"/>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1"/>
    <w:qFormat/>
    <w:rsid w:val="001215AA"/>
    <w:pPr>
      <w:spacing w:after="0" w:line="240" w:lineRule="auto"/>
    </w:pPr>
    <w:rPr>
      <w:rFonts w:ascii="Calibri" w:eastAsia="Times New Roman" w:hAnsi="Calibri" w:cs="Times New Roman"/>
      <w:kern w:val="0"/>
      <w14:ligatures w14:val="none"/>
    </w:rPr>
  </w:style>
  <w:style w:type="paragraph" w:customStyle="1" w:styleId="Default">
    <w:name w:val="Default"/>
    <w:rsid w:val="001215A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1215AA"/>
    <w:rPr>
      <w:sz w:val="20"/>
      <w:szCs w:val="20"/>
    </w:rPr>
  </w:style>
  <w:style w:type="character" w:customStyle="1" w:styleId="FootnoteTextChar">
    <w:name w:val="Footnote Text Char"/>
    <w:basedOn w:val="DefaultParagraphFont"/>
    <w:link w:val="FootnoteText"/>
    <w:uiPriority w:val="99"/>
    <w:semiHidden/>
    <w:rsid w:val="001215AA"/>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1215AA"/>
    <w:rPr>
      <w:vertAlign w:val="superscript"/>
    </w:rPr>
  </w:style>
  <w:style w:type="table" w:styleId="TableGrid">
    <w:name w:val="Table Grid"/>
    <w:basedOn w:val="TableNormal"/>
    <w:uiPriority w:val="59"/>
    <w:rsid w:val="001215AA"/>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1215AA"/>
    <w:rPr>
      <w:i/>
      <w:iCs/>
      <w:smallCaps/>
      <w:spacing w:val="5"/>
    </w:rPr>
  </w:style>
  <w:style w:type="paragraph" w:customStyle="1" w:styleId="ECHRHeader">
    <w:name w:val="ECHR_Header"/>
    <w:aliases w:val="Ju_Header"/>
    <w:basedOn w:val="Header"/>
    <w:uiPriority w:val="4"/>
    <w:qFormat/>
    <w:rsid w:val="001215AA"/>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1215AA"/>
  </w:style>
  <w:style w:type="character" w:styleId="Strong">
    <w:name w:val="Strong"/>
    <w:uiPriority w:val="99"/>
    <w:qFormat/>
    <w:rsid w:val="001215AA"/>
    <w:rPr>
      <w:b/>
      <w:bCs/>
    </w:rPr>
  </w:style>
  <w:style w:type="character" w:customStyle="1" w:styleId="NoSpacingChar">
    <w:name w:val="No Spacing Char"/>
    <w:link w:val="NoSpacing"/>
    <w:uiPriority w:val="1"/>
    <w:rsid w:val="001215AA"/>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1215AA"/>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1215AA"/>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1215AA"/>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1215AA"/>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1215AA"/>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1215AA"/>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1215AA"/>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1215AA"/>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1215AA"/>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1215AA"/>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1215AA"/>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1215AA"/>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1215AA"/>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1215AA"/>
    <w:rPr>
      <w:vanish w:val="0"/>
      <w:color w:val="auto"/>
      <w:sz w:val="14"/>
      <w:bdr w:val="none" w:sz="0" w:space="0" w:color="auto"/>
      <w:shd w:val="clear" w:color="auto" w:fill="BEE5FF"/>
    </w:rPr>
  </w:style>
  <w:style w:type="paragraph" w:customStyle="1" w:styleId="JuLista">
    <w:name w:val="Ju_List_a"/>
    <w:basedOn w:val="JuList"/>
    <w:uiPriority w:val="28"/>
    <w:qFormat/>
    <w:rsid w:val="001215AA"/>
    <w:pPr>
      <w:ind w:left="346" w:firstLine="0"/>
    </w:pPr>
  </w:style>
  <w:style w:type="paragraph" w:customStyle="1" w:styleId="JuListi">
    <w:name w:val="Ju_List_i"/>
    <w:basedOn w:val="Normal"/>
    <w:next w:val="JuLista"/>
    <w:uiPriority w:val="28"/>
    <w:qFormat/>
    <w:rsid w:val="001215AA"/>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1215AA"/>
    <w:rPr>
      <w:caps w:val="0"/>
      <w:smallCaps/>
    </w:rPr>
  </w:style>
  <w:style w:type="paragraph" w:customStyle="1" w:styleId="JuParaSub">
    <w:name w:val="Ju_Para_Sub"/>
    <w:basedOn w:val="ECHRPara"/>
    <w:uiPriority w:val="13"/>
    <w:qFormat/>
    <w:rsid w:val="001215AA"/>
    <w:pPr>
      <w:ind w:left="284"/>
    </w:pPr>
  </w:style>
  <w:style w:type="paragraph" w:customStyle="1" w:styleId="ECHRHeading1">
    <w:name w:val="ECHR_Heading_1"/>
    <w:aliases w:val="Ju_H_I_Roman"/>
    <w:basedOn w:val="Heading1"/>
    <w:next w:val="ECHRPara"/>
    <w:uiPriority w:val="19"/>
    <w:qFormat/>
    <w:rsid w:val="001215AA"/>
  </w:style>
  <w:style w:type="paragraph" w:customStyle="1" w:styleId="ECHRHeading2">
    <w:name w:val="ECHR_Heading_2"/>
    <w:aliases w:val="Ju_H_A"/>
    <w:basedOn w:val="Heading2"/>
    <w:next w:val="ECHRPara"/>
    <w:uiPriority w:val="20"/>
    <w:qFormat/>
    <w:rsid w:val="001215AA"/>
  </w:style>
  <w:style w:type="paragraph" w:customStyle="1" w:styleId="ECHRHeading3">
    <w:name w:val="ECHR_Heading_3"/>
    <w:aliases w:val="Ju_H_1."/>
    <w:basedOn w:val="Heading3"/>
    <w:next w:val="ECHRPara"/>
    <w:uiPriority w:val="21"/>
    <w:qFormat/>
    <w:rsid w:val="001215AA"/>
  </w:style>
  <w:style w:type="paragraph" w:customStyle="1" w:styleId="ECHRHeading4">
    <w:name w:val="ECHR_Heading_4"/>
    <w:aliases w:val="Ju_H_a"/>
    <w:basedOn w:val="Heading4"/>
    <w:next w:val="ECHRPara"/>
    <w:uiPriority w:val="22"/>
    <w:qFormat/>
    <w:rsid w:val="001215AA"/>
  </w:style>
  <w:style w:type="paragraph" w:customStyle="1" w:styleId="ECHRHeading5">
    <w:name w:val="ECHR_Heading_5"/>
    <w:aliases w:val="Ju_H_i"/>
    <w:basedOn w:val="Heading5"/>
    <w:next w:val="ECHRPara"/>
    <w:uiPriority w:val="23"/>
    <w:qFormat/>
    <w:rsid w:val="001215AA"/>
  </w:style>
  <w:style w:type="paragraph" w:customStyle="1" w:styleId="ECHRHeading6">
    <w:name w:val="ECHR_Heading_6"/>
    <w:aliases w:val="Ju_H_alpha"/>
    <w:basedOn w:val="Heading6"/>
    <w:next w:val="ECHRPara"/>
    <w:uiPriority w:val="24"/>
    <w:qFormat/>
    <w:rsid w:val="001215AA"/>
  </w:style>
  <w:style w:type="paragraph" w:customStyle="1" w:styleId="ECHRHeading7">
    <w:name w:val="ECHR_Heading_7"/>
    <w:aliases w:val="Ju_H_–"/>
    <w:basedOn w:val="Heading7"/>
    <w:next w:val="ECHRPara"/>
    <w:uiPriority w:val="25"/>
    <w:qFormat/>
    <w:rsid w:val="001215AA"/>
  </w:style>
  <w:style w:type="paragraph" w:customStyle="1" w:styleId="JuParaLast">
    <w:name w:val="Ju_Para_Last"/>
    <w:basedOn w:val="Normal"/>
    <w:next w:val="ECHRPara"/>
    <w:uiPriority w:val="30"/>
    <w:qFormat/>
    <w:rsid w:val="001215AA"/>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11"/>
    <w:qFormat/>
    <w:rsid w:val="001215AA"/>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1215AA"/>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1215AA"/>
    <w:pPr>
      <w:ind w:left="567"/>
    </w:pPr>
  </w:style>
  <w:style w:type="paragraph" w:customStyle="1" w:styleId="JuTitle">
    <w:name w:val="Ju_Title"/>
    <w:basedOn w:val="Normal"/>
    <w:next w:val="ECHRPara"/>
    <w:uiPriority w:val="3"/>
    <w:semiHidden/>
    <w:qFormat/>
    <w:rsid w:val="001215AA"/>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1215AA"/>
    <w:rPr>
      <w:i/>
      <w:iCs/>
    </w:rPr>
  </w:style>
  <w:style w:type="paragraph" w:customStyle="1" w:styleId="OpiH1">
    <w:name w:val="Opi_H_1"/>
    <w:basedOn w:val="ECHRHeading2"/>
    <w:uiPriority w:val="42"/>
    <w:qFormat/>
    <w:rsid w:val="001215AA"/>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1215AA"/>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1215AA"/>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1215AA"/>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1215AA"/>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1215AA"/>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1215AA"/>
    <w:rPr>
      <w:b/>
      <w:bCs/>
      <w:i/>
      <w:iCs/>
      <w:spacing w:val="10"/>
      <w:bdr w:val="none" w:sz="0" w:space="0" w:color="auto"/>
      <w:shd w:val="clear" w:color="auto" w:fill="auto"/>
    </w:rPr>
  </w:style>
  <w:style w:type="character" w:styleId="IntenseEmphasis">
    <w:name w:val="Intense Emphasis"/>
    <w:uiPriority w:val="99"/>
    <w:qFormat/>
    <w:rsid w:val="001215AA"/>
    <w:rPr>
      <w:b/>
      <w:bCs/>
    </w:rPr>
  </w:style>
  <w:style w:type="paragraph" w:styleId="IntenseQuote">
    <w:name w:val="Intense Quote"/>
    <w:basedOn w:val="Normal"/>
    <w:next w:val="Normal"/>
    <w:link w:val="IntenseQuoteChar"/>
    <w:uiPriority w:val="99"/>
    <w:qFormat/>
    <w:rsid w:val="001215AA"/>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1215AA"/>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1215AA"/>
    <w:rPr>
      <w:smallCaps/>
      <w:spacing w:val="5"/>
      <w:u w:val="single"/>
    </w:rPr>
  </w:style>
  <w:style w:type="table" w:customStyle="1" w:styleId="LtrTableAddress">
    <w:name w:val="Ltr_Table_Addres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1215AA"/>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1215AA"/>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1215AA"/>
    <w:rPr>
      <w:smallCaps/>
    </w:rPr>
  </w:style>
  <w:style w:type="paragraph" w:styleId="TOC1">
    <w:name w:val="toc 1"/>
    <w:basedOn w:val="Normal"/>
    <w:next w:val="Normal"/>
    <w:autoRedefine/>
    <w:uiPriority w:val="99"/>
    <w:semiHidden/>
    <w:rsid w:val="001215AA"/>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1215AA"/>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1215AA"/>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1215AA"/>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1215AA"/>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1215AA"/>
    <w:pPr>
      <w:keepNext/>
      <w:spacing w:before="240" w:after="60"/>
    </w:pPr>
    <w:rPr>
      <w:rFonts w:ascii="Calibri Light" w:hAnsi="Calibri Light"/>
      <w:kern w:val="32"/>
      <w:sz w:val="32"/>
      <w:szCs w:val="32"/>
    </w:rPr>
  </w:style>
  <w:style w:type="table" w:customStyle="1" w:styleId="UGTable">
    <w:name w:val="UG_Table"/>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1215AA"/>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1215AA"/>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1215AA"/>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1215AA"/>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1215AA"/>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1215AA"/>
    <w:pPr>
      <w:numPr>
        <w:numId w:val="4"/>
      </w:numPr>
    </w:pPr>
  </w:style>
  <w:style w:type="paragraph" w:customStyle="1" w:styleId="ECHRPara">
    <w:name w:val="ECHR_Para"/>
    <w:aliases w:val="Ju_Para"/>
    <w:basedOn w:val="Normal"/>
    <w:link w:val="ECHRParaChar"/>
    <w:uiPriority w:val="12"/>
    <w:qFormat/>
    <w:rsid w:val="001215AA"/>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1215AA"/>
    <w:pPr>
      <w:numPr>
        <w:numId w:val="5"/>
      </w:numPr>
    </w:pPr>
  </w:style>
  <w:style w:type="table" w:customStyle="1" w:styleId="ECHRTableSimpleBox">
    <w:name w:val="ECHR_Table_Simple_Box"/>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1215AA"/>
    <w:pPr>
      <w:numPr>
        <w:numId w:val="6"/>
      </w:numPr>
    </w:pPr>
  </w:style>
  <w:style w:type="table" w:customStyle="1" w:styleId="ECHRTableForInternalUse">
    <w:name w:val="ECHR_Table_For_Internal_Use"/>
    <w:basedOn w:val="TableNormal"/>
    <w:uiPriority w:val="99"/>
    <w:rsid w:val="001215AA"/>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1215AA"/>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1215AA"/>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1215AA"/>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1215AA"/>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1215AA"/>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1215AA"/>
    <w:rPr>
      <w:sz w:val="18"/>
    </w:rPr>
  </w:style>
  <w:style w:type="paragraph" w:styleId="ListBullet">
    <w:name w:val="List Bullet"/>
    <w:basedOn w:val="Normal"/>
    <w:uiPriority w:val="99"/>
    <w:semiHidden/>
    <w:rsid w:val="001215AA"/>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1215AA"/>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1215AA"/>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1215AA"/>
    <w:pPr>
      <w:spacing w:after="0"/>
      <w:ind w:firstLine="360"/>
    </w:pPr>
  </w:style>
  <w:style w:type="character" w:customStyle="1" w:styleId="BodyTextFirstIndentChar">
    <w:name w:val="Body Text First Indent Char"/>
    <w:basedOn w:val="BodyTextChar"/>
    <w:link w:val="BodyTextFirs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1215AA"/>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1215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1215AA"/>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1215AA"/>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1215AA"/>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1215AA"/>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1215AA"/>
    <w:rPr>
      <w:sz w:val="16"/>
      <w:szCs w:val="16"/>
    </w:rPr>
  </w:style>
  <w:style w:type="paragraph" w:styleId="CommentText">
    <w:name w:val="annotation text"/>
    <w:basedOn w:val="Normal"/>
    <w:link w:val="CommentTextChar"/>
    <w:uiPriority w:val="99"/>
    <w:semiHidden/>
    <w:rsid w:val="001215AA"/>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1215AA"/>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1215AA"/>
    <w:rPr>
      <w:b/>
      <w:bCs/>
    </w:rPr>
  </w:style>
  <w:style w:type="character" w:customStyle="1" w:styleId="CommentSubjectChar">
    <w:name w:val="Comment Subject Char"/>
    <w:basedOn w:val="CommentTextChar"/>
    <w:link w:val="CommentSubject"/>
    <w:uiPriority w:val="99"/>
    <w:semiHidden/>
    <w:rsid w:val="001215AA"/>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1215AA"/>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1215AA"/>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1215AA"/>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1215AA"/>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1215AA"/>
    <w:rPr>
      <w:vertAlign w:val="superscript"/>
    </w:rPr>
  </w:style>
  <w:style w:type="paragraph" w:styleId="EndnoteText">
    <w:name w:val="endnote text"/>
    <w:basedOn w:val="Normal"/>
    <w:link w:val="EndnoteTextChar"/>
    <w:uiPriority w:val="99"/>
    <w:semiHidden/>
    <w:rsid w:val="001215AA"/>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1215AA"/>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1215AA"/>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1215AA"/>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1215AA"/>
    <w:rPr>
      <w:color w:val="7030A0"/>
      <w:u w:val="single"/>
    </w:rPr>
  </w:style>
  <w:style w:type="character" w:styleId="HTMLAcronym">
    <w:name w:val="HTML Acronym"/>
    <w:basedOn w:val="DefaultParagraphFont"/>
    <w:uiPriority w:val="99"/>
    <w:semiHidden/>
    <w:rsid w:val="001215AA"/>
  </w:style>
  <w:style w:type="paragraph" w:styleId="HTMLAddress">
    <w:name w:val="HTML Address"/>
    <w:basedOn w:val="Normal"/>
    <w:link w:val="HTMLAddressChar"/>
    <w:uiPriority w:val="99"/>
    <w:semiHidden/>
    <w:rsid w:val="001215AA"/>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1215AA"/>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1215AA"/>
    <w:rPr>
      <w:i/>
      <w:iCs/>
    </w:rPr>
  </w:style>
  <w:style w:type="character" w:styleId="HTMLCode">
    <w:name w:val="HTML Code"/>
    <w:uiPriority w:val="99"/>
    <w:semiHidden/>
    <w:rsid w:val="001215AA"/>
    <w:rPr>
      <w:rFonts w:ascii="Consolas" w:hAnsi="Consolas" w:cs="Consolas"/>
      <w:sz w:val="20"/>
      <w:szCs w:val="20"/>
    </w:rPr>
  </w:style>
  <w:style w:type="character" w:styleId="HTMLDefinition">
    <w:name w:val="HTML Definition"/>
    <w:uiPriority w:val="99"/>
    <w:semiHidden/>
    <w:rsid w:val="001215AA"/>
    <w:rPr>
      <w:i/>
      <w:iCs/>
    </w:rPr>
  </w:style>
  <w:style w:type="character" w:styleId="HTMLKeyboard">
    <w:name w:val="HTML Keyboard"/>
    <w:uiPriority w:val="99"/>
    <w:semiHidden/>
    <w:rsid w:val="001215AA"/>
    <w:rPr>
      <w:rFonts w:ascii="Consolas" w:hAnsi="Consolas" w:cs="Consolas"/>
      <w:sz w:val="20"/>
      <w:szCs w:val="20"/>
    </w:rPr>
  </w:style>
  <w:style w:type="paragraph" w:styleId="HTMLPreformatted">
    <w:name w:val="HTML Preformatted"/>
    <w:basedOn w:val="Normal"/>
    <w:link w:val="HTMLPreformattedChar"/>
    <w:uiPriority w:val="99"/>
    <w:semiHidden/>
    <w:rsid w:val="001215AA"/>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1215AA"/>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1215AA"/>
    <w:rPr>
      <w:rFonts w:ascii="Consolas" w:hAnsi="Consolas" w:cs="Consolas"/>
      <w:sz w:val="24"/>
      <w:szCs w:val="24"/>
    </w:rPr>
  </w:style>
  <w:style w:type="character" w:styleId="HTMLTypewriter">
    <w:name w:val="HTML Typewriter"/>
    <w:uiPriority w:val="99"/>
    <w:semiHidden/>
    <w:rsid w:val="001215AA"/>
    <w:rPr>
      <w:rFonts w:ascii="Consolas" w:hAnsi="Consolas" w:cs="Consolas"/>
      <w:sz w:val="20"/>
      <w:szCs w:val="20"/>
    </w:rPr>
  </w:style>
  <w:style w:type="character" w:styleId="HTMLVariable">
    <w:name w:val="HTML Variable"/>
    <w:uiPriority w:val="99"/>
    <w:semiHidden/>
    <w:rsid w:val="001215AA"/>
    <w:rPr>
      <w:i/>
      <w:iCs/>
    </w:rPr>
  </w:style>
  <w:style w:type="paragraph" w:styleId="Index1">
    <w:name w:val="index 1"/>
    <w:basedOn w:val="Normal"/>
    <w:next w:val="Normal"/>
    <w:autoRedefine/>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1215AA"/>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1215AA"/>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1215AA"/>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1215AA"/>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1215AA"/>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1215AA"/>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1215AA"/>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1215AA"/>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1215AA"/>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AA"/>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1215AA"/>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1215AA"/>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1215AA"/>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215AA"/>
  </w:style>
  <w:style w:type="paragraph" w:styleId="List">
    <w:name w:val="List"/>
    <w:basedOn w:val="Normal"/>
    <w:uiPriority w:val="99"/>
    <w:semiHidden/>
    <w:rsid w:val="001215AA"/>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1215AA"/>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1215AA"/>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1215AA"/>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1215AA"/>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1215AA"/>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1215AA"/>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1215AA"/>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1215AA"/>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1215AA"/>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1215AA"/>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1215AA"/>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1215AA"/>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1215AA"/>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1215AA"/>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1215AA"/>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1215AA"/>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1215AA"/>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1215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1215AA"/>
    <w:rPr>
      <w:rFonts w:ascii="Consolas" w:eastAsia="MS Mincho" w:hAnsi="Consolas" w:cs="Consolas"/>
      <w:kern w:val="0"/>
      <w:sz w:val="20"/>
      <w:szCs w:val="20"/>
      <w14:ligatures w14:val="none"/>
    </w:rPr>
  </w:style>
  <w:style w:type="table" w:styleId="MediumGrid1">
    <w:name w:val="Medium Grid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1215AA"/>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1215AA"/>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1215AA"/>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1215AA"/>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1215AA"/>
    <w:rPr>
      <w:color w:val="auto"/>
      <w:bdr w:val="none" w:sz="0" w:space="0" w:color="auto"/>
      <w:shd w:val="clear" w:color="auto" w:fill="DFDFDF"/>
    </w:rPr>
  </w:style>
  <w:style w:type="paragraph" w:styleId="PlainText">
    <w:name w:val="Plain Text"/>
    <w:basedOn w:val="Normal"/>
    <w:link w:val="PlainTextChar"/>
    <w:uiPriority w:val="99"/>
    <w:semiHidden/>
    <w:rsid w:val="001215AA"/>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1215AA"/>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1215AA"/>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1215AA"/>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AA"/>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AA"/>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1215AA"/>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215AA"/>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1215AA"/>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1215AA"/>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1215AA"/>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1215AA"/>
  </w:style>
  <w:style w:type="paragraph" w:customStyle="1" w:styleId="OpiParaSub">
    <w:name w:val="Opi_Para_Sub"/>
    <w:basedOn w:val="JuParaSub"/>
    <w:uiPriority w:val="47"/>
    <w:qFormat/>
    <w:rsid w:val="001215AA"/>
  </w:style>
  <w:style w:type="paragraph" w:customStyle="1" w:styleId="ECHRFooter">
    <w:name w:val="ECHR_Footer"/>
    <w:aliases w:val="Footer_ECHR"/>
    <w:basedOn w:val="Footer"/>
    <w:uiPriority w:val="57"/>
    <w:semiHidden/>
    <w:rsid w:val="001215AA"/>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1215AA"/>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1215AA"/>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1215AA"/>
  </w:style>
  <w:style w:type="paragraph" w:customStyle="1" w:styleId="OpiQuotSub">
    <w:name w:val="Opi_Quot_Sub"/>
    <w:basedOn w:val="JuQuotSub"/>
    <w:uiPriority w:val="49"/>
    <w:qFormat/>
    <w:rsid w:val="001215AA"/>
  </w:style>
  <w:style w:type="paragraph" w:customStyle="1" w:styleId="OpiTranslation">
    <w:name w:val="Opi_Translation"/>
    <w:basedOn w:val="Normal"/>
    <w:next w:val="OpiPara"/>
    <w:uiPriority w:val="40"/>
    <w:qFormat/>
    <w:rsid w:val="001215AA"/>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1215AA"/>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1215AA"/>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1215AA"/>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1">
    <w:name w:val="x_s1"/>
    <w:rsid w:val="001215AA"/>
  </w:style>
  <w:style w:type="paragraph" w:customStyle="1" w:styleId="xp2">
    <w:name w:val="x_p2"/>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2">
    <w:name w:val="x_s2"/>
    <w:rsid w:val="0012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905">
      <w:bodyDiv w:val="1"/>
      <w:marLeft w:val="0"/>
      <w:marRight w:val="0"/>
      <w:marTop w:val="0"/>
      <w:marBottom w:val="0"/>
      <w:divBdr>
        <w:top w:val="none" w:sz="0" w:space="0" w:color="auto"/>
        <w:left w:val="none" w:sz="0" w:space="0" w:color="auto"/>
        <w:bottom w:val="none" w:sz="0" w:space="0" w:color="auto"/>
        <w:right w:val="none" w:sz="0" w:space="0" w:color="auto"/>
      </w:divBdr>
    </w:div>
    <w:div w:id="17359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63975-10</Nr_x002e__x0020_akti>
    <Data_x0020_e_x0020_Krijimit xmlns="0e656187-b300-4fb0-8bf4-3a50f872073c">2024-01-04T10:44:58Z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2024-01-03T00:00:00Z</Date_x0020_protokolli>
    <Titulli xmlns="0e656187-b300-4fb0-8bf4-3a50f872073c">Çështja Alsula dhe të tjerë kundër Shqipërisë</Titulli>
    <Modifikuesi xmlns="0e656187-b300-4fb0-8bf4-3a50f872073c">ermira.bukaci</Modifikuesi>
    <Nr_x002e__x0020_prot_x0020_QBZ xmlns="0e656187-b300-4fb0-8bf4-3a50f872073c">5/1</Nr_x002e__x0020_prot_x0020_QBZ>
    <Data_x0020_e_x0020_Modifikimit xmlns="0e656187-b300-4fb0-8bf4-3a50f872073c">2024-01-04T11:35:07Z</Data_x0020_e_x0020_Modifikimit>
    <Dekretuar xmlns="0e656187-b300-4fb0-8bf4-3a50f872073c">false</Dekretuar>
    <Data xmlns="0e656187-b300-4fb0-8bf4-3a50f872073c">2023-11-30T00:00:00Z</Data>
    <Nr_x002e__x0020_protokolli_x0020_i_x0020_aktit xmlns="0e656187-b300-4fb0-8bf4-3a50f872073c">7004/1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5BFE90B9573F4863B8B517FEFBD079E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5BFE90B9573F4863B8B517FEFBD079E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41A6-3924-4178-A283-9AB02CD84FAF}">
  <ds:schemaRefs>
    <ds:schemaRef ds:uri="http://schemas.microsoft.com/sharepoint/v3/contenttype/forms"/>
  </ds:schemaRefs>
</ds:datastoreItem>
</file>

<file path=customXml/itemProps2.xml><?xml version="1.0" encoding="utf-8"?>
<ds:datastoreItem xmlns:ds="http://schemas.openxmlformats.org/officeDocument/2006/customXml" ds:itemID="{05F0E30F-8C48-421D-AC95-BF5156CB9D49}">
  <ds:schemaRefs>
    <ds:schemaRef ds:uri="http://purl.org/dc/terms/"/>
    <ds:schemaRef ds:uri="http://schemas.openxmlformats.org/package/2006/metadata/core-properties"/>
    <ds:schemaRef ds:uri="0e656187-b300-4fb0-8bf4-3a50f872073c"/>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86562F6-36CC-42DA-A8FD-34A8758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2228A1-D6C3-43BD-886D-E274084E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DBBAEB4-4EF7-461C-A8FB-F3F8C4E58C82}">
  <ds:schemaRefs>
    <ds:schemaRef ds:uri="http://schemas.microsoft.com/sharepoint/v3/contenttype/forms"/>
  </ds:schemaRefs>
</ds:datastoreItem>
</file>

<file path=customXml/itemProps6.xml><?xml version="1.0" encoding="utf-8"?>
<ds:datastoreItem xmlns:ds="http://schemas.openxmlformats.org/officeDocument/2006/customXml" ds:itemID="{3272C0BF-E290-4DD6-9CBF-1C09E5EA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Çështja Alsula dhe të tjerë kundër Shqipërisë</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Alsula dhe të tjerë kundër Shqipërisë</dc:title>
  <dc:creator>Mirela Prifti</dc:creator>
  <cp:lastModifiedBy>Jonida Zaharia</cp:lastModifiedBy>
  <cp:revision>2</cp:revision>
  <cp:lastPrinted>2023-12-27T15:24:00Z</cp:lastPrinted>
  <dcterms:created xsi:type="dcterms:W3CDTF">2024-01-12T10:34:00Z</dcterms:created>
  <dcterms:modified xsi:type="dcterms:W3CDTF">2024-01-12T10:34:00Z</dcterms:modified>
</cp:coreProperties>
</file>